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A84D74" w14:paraId="033E5C2E" w14:textId="77777777" w:rsidTr="00470C29">
        <w:trPr>
          <w:trHeight w:hRule="exact" w:val="1361"/>
        </w:trPr>
        <w:tc>
          <w:tcPr>
            <w:tcW w:w="2421" w:type="dxa"/>
            <w:vMerge w:val="restart"/>
          </w:tcPr>
          <w:p w14:paraId="5F534E1C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19E86383" w14:textId="77777777" w:rsidR="00470C29" w:rsidRPr="00A84D74" w:rsidRDefault="00280780" w:rsidP="00280780">
            <w:pPr>
              <w:pStyle w:val="berschrift1"/>
              <w:outlineLvl w:val="0"/>
              <w:rPr>
                <w:lang w:val="it-CH"/>
              </w:rPr>
            </w:pPr>
            <w:bookmarkStart w:id="0" w:name="_Toc40261075"/>
            <w:r w:rsidRPr="00A84D74">
              <w:rPr>
                <w:lang w:val="it-CH"/>
              </w:rPr>
              <w:t>Tornio convenzionale</w:t>
            </w:r>
            <w:bookmarkEnd w:id="0"/>
          </w:p>
        </w:tc>
      </w:tr>
      <w:tr w:rsidR="00470C29" w:rsidRPr="000814E5" w14:paraId="54EC7285" w14:textId="77777777" w:rsidTr="00470C29">
        <w:trPr>
          <w:trHeight w:hRule="exact" w:val="567"/>
        </w:trPr>
        <w:tc>
          <w:tcPr>
            <w:tcW w:w="2421" w:type="dxa"/>
            <w:vMerge/>
          </w:tcPr>
          <w:p w14:paraId="0A62FE0C" w14:textId="77777777" w:rsidR="00470C29" w:rsidRPr="00A84D74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12B8C1B8" w14:textId="77777777" w:rsidR="00470C29" w:rsidRPr="00A84D74" w:rsidRDefault="00470C29" w:rsidP="00280780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70C29" w:rsidRPr="00A84D74" w14:paraId="3BDAA8A4" w14:textId="77777777" w:rsidTr="00280780">
        <w:trPr>
          <w:trHeight w:hRule="exact" w:val="3402"/>
        </w:trPr>
        <w:tc>
          <w:tcPr>
            <w:tcW w:w="2421" w:type="dxa"/>
          </w:tcPr>
          <w:p w14:paraId="0DF23C3D" w14:textId="77777777" w:rsidR="00470C29" w:rsidRPr="00A84D74" w:rsidRDefault="00470C29" w:rsidP="00280780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20FD98C6" w14:textId="77777777" w:rsidR="00470C29" w:rsidRPr="00A84D74" w:rsidRDefault="00280780" w:rsidP="00280780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58F360B0" wp14:editId="0BD127B7">
                  <wp:extent cx="5133975" cy="2087850"/>
                  <wp:effectExtent l="0" t="0" r="0" b="8255"/>
                  <wp:docPr id="395" name="Grafik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beiten-drehmaschine_Web format sRGB_19424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434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0814E5" w14:paraId="5CE513E7" w14:textId="77777777" w:rsidTr="000814E5">
        <w:trPr>
          <w:trHeight w:hRule="exact" w:val="1871"/>
        </w:trPr>
        <w:tc>
          <w:tcPr>
            <w:tcW w:w="2421" w:type="dxa"/>
          </w:tcPr>
          <w:p w14:paraId="4E8464B5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48185862" w14:textId="77777777" w:rsidR="00470C29" w:rsidRPr="00A84D74" w:rsidRDefault="00280780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1ED60E8" wp14:editId="3AABA4C9">
                  <wp:extent cx="540000" cy="471600"/>
                  <wp:effectExtent l="0" t="0" r="0" b="5080"/>
                  <wp:docPr id="396" name="Grafik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37F44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46364179" w14:textId="77777777" w:rsidR="00470C29" w:rsidRPr="00A84D74" w:rsidRDefault="00470C29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2A7A9CC5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Restare impigliati nel mandrino rotante</w:t>
            </w:r>
          </w:p>
          <w:p w14:paraId="3CDCF4ED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Essere colpiti da sbarre che sporgono libere</w:t>
            </w:r>
          </w:p>
          <w:p w14:paraId="03AD0D41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provocate dalla proiezione di trucioli</w:t>
            </w:r>
          </w:p>
          <w:p w14:paraId="20E23255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al contatto con i trucioli</w:t>
            </w:r>
          </w:p>
          <w:p w14:paraId="20B1B7CE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Restare impigliati tra il nastro di lucidatura e il pezzo in lavorazione</w:t>
            </w:r>
          </w:p>
        </w:tc>
      </w:tr>
      <w:tr w:rsidR="00470C29" w:rsidRPr="000814E5" w14:paraId="6896B03E" w14:textId="77777777" w:rsidTr="000814E5">
        <w:trPr>
          <w:trHeight w:val="3969"/>
        </w:trPr>
        <w:tc>
          <w:tcPr>
            <w:tcW w:w="2421" w:type="dxa"/>
          </w:tcPr>
          <w:p w14:paraId="5B397C5A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47647711" w14:textId="77777777" w:rsidR="00470C29" w:rsidRPr="00A84D74" w:rsidRDefault="003E1F41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65DD7A46" wp14:editId="7CA8C5AA">
                  <wp:extent cx="540000" cy="54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89001" w14:textId="77777777" w:rsidR="00470C29" w:rsidRPr="00A84D74" w:rsidRDefault="00470C29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1B3FCB9" wp14:editId="20F329B0">
                  <wp:extent cx="540000" cy="540000"/>
                  <wp:effectExtent l="0" t="0" r="0" b="0"/>
                  <wp:docPr id="274" name="Grafik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9657C" w14:textId="77777777" w:rsidR="0068257F" w:rsidRPr="00A84D74" w:rsidRDefault="0068257F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B930EBE" wp14:editId="43A965A4">
                  <wp:extent cx="540000" cy="540000"/>
                  <wp:effectExtent l="0" t="0" r="0" b="0"/>
                  <wp:docPr id="398" name="Grafik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707E8" w14:textId="77777777" w:rsidR="0068257F" w:rsidRPr="00A84D74" w:rsidRDefault="0068257F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4AD1D84" wp14:editId="10524219">
                  <wp:extent cx="540000" cy="540000"/>
                  <wp:effectExtent l="0" t="0" r="0" b="0"/>
                  <wp:docPr id="400" name="Grafik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74285" w14:textId="77777777" w:rsidR="00470C29" w:rsidRPr="00A84D74" w:rsidRDefault="0068257F" w:rsidP="00B8677F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EBE7733" wp14:editId="2BEFA942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14:paraId="5B7FD017" w14:textId="77777777" w:rsidR="00470C29" w:rsidRPr="00A84D74" w:rsidRDefault="00470C29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80780" w:rsidRPr="00A84D74">
              <w:rPr>
                <w:rFonts w:cs="Times New Roman"/>
                <w:color w:val="1E1E1E"/>
                <w:lang w:val="it-CH" w:eastAsia="it-CH"/>
              </w:rPr>
              <w:t>torni</w:t>
            </w:r>
            <w:r w:rsidRPr="00A84D74">
              <w:rPr>
                <w:lang w:val="it-CH" w:eastAsia="it-CH"/>
              </w:rPr>
              <w:t xml:space="preserve"> sicuri, seguendo le istruzioni contenute nel manuale d'uso.</w:t>
            </w:r>
          </w:p>
          <w:p w14:paraId="515EF226" w14:textId="77777777" w:rsidR="00280780" w:rsidRPr="00A84D74" w:rsidRDefault="00470C29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i torni convenzionali. I giovani di età inferiore ai 18 anni (eccezione: formazione professionale) non sono autorizzati a utilizzarli.</w:t>
            </w:r>
          </w:p>
          <w:p w14:paraId="427C75F2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rFonts w:cs="Times New Roman"/>
                <w:color w:val="1E1E1E"/>
                <w:lang w:val="it-CH" w:eastAsia="it-CH"/>
              </w:rPr>
              <w:t>Indossare occhiali di protezione.</w:t>
            </w:r>
          </w:p>
          <w:p w14:paraId="3BC58C19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249C63FD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Divieto di indossare guanti.</w:t>
            </w:r>
          </w:p>
          <w:p w14:paraId="1EB4B0A3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indossare anelli, orologi, braccialetti.</w:t>
            </w:r>
          </w:p>
          <w:p w14:paraId="14E91AE2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4DB91662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Raccogliere i capelli lunghi ad es. in una retina per capelli.</w:t>
            </w:r>
          </w:p>
          <w:p w14:paraId="509C95FA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Usare la copertura di protezione per il mandrino.</w:t>
            </w:r>
          </w:p>
          <w:p w14:paraId="223272A3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Usare guide appropriate per la tornitura di sbarre che sporgono libere dalla testa portamandrino.</w:t>
            </w:r>
          </w:p>
          <w:p w14:paraId="04649064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Lucidare soltanto con gli appositi utensili; il nastro di lucidatura non deve avvolgere il pezzo in lavorazione.</w:t>
            </w:r>
          </w:p>
          <w:p w14:paraId="2103F025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posizionare mai parti del corpo sopra al mandrino o ai pezzi in lavorazione mentre sono in rotazione.</w:t>
            </w:r>
          </w:p>
          <w:p w14:paraId="2F208E8A" w14:textId="77777777" w:rsidR="00280780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  <w:p w14:paraId="0F090879" w14:textId="77777777" w:rsidR="00470C29" w:rsidRPr="00A84D74" w:rsidRDefault="00280780" w:rsidP="00280780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Usare un gancio con proteggimano per asportare i trucioli.</w:t>
            </w:r>
          </w:p>
        </w:tc>
      </w:tr>
      <w:tr w:rsidR="00470C29" w:rsidRPr="000814E5" w14:paraId="686B6E52" w14:textId="77777777" w:rsidTr="000814E5">
        <w:trPr>
          <w:trHeight w:hRule="exact" w:val="737"/>
        </w:trPr>
        <w:tc>
          <w:tcPr>
            <w:tcW w:w="2421" w:type="dxa"/>
          </w:tcPr>
          <w:p w14:paraId="77F433C1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6E726F44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37238328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68257F" w:rsidRPr="00A84D74">
              <w:rPr>
                <w:rFonts w:cs="Times New Roman"/>
                <w:color w:val="1E1E1E"/>
                <w:lang w:val="it-CH" w:eastAsia="it-CH"/>
              </w:rPr>
              <w:t>Torni convenzionali</w:t>
            </w:r>
            <w:r w:rsidRPr="00A84D74">
              <w:rPr>
                <w:lang w:val="it-CH"/>
              </w:rPr>
              <w:t xml:space="preserve">», </w:t>
            </w:r>
            <w:hyperlink r:id="rId15" w:history="1">
              <w:r w:rsidR="0068257F" w:rsidRPr="00A84D74">
                <w:rPr>
                  <w:rStyle w:val="Hyperlink"/>
                  <w:lang w:val="it-CH"/>
                </w:rPr>
                <w:t>www.suva.ch/67053.i</w:t>
              </w:r>
            </w:hyperlink>
          </w:p>
        </w:tc>
      </w:tr>
      <w:tr w:rsidR="00470C29" w:rsidRPr="00A84D74" w14:paraId="60693DB1" w14:textId="77777777" w:rsidTr="000814E5">
        <w:trPr>
          <w:trHeight w:hRule="exact" w:val="454"/>
        </w:trPr>
        <w:tc>
          <w:tcPr>
            <w:tcW w:w="2421" w:type="dxa"/>
          </w:tcPr>
          <w:p w14:paraId="7C7422FE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0E6F56FF" w14:textId="77777777" w:rsidR="00470C29" w:rsidRPr="00A84D74" w:rsidRDefault="00470C29" w:rsidP="00280780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40708CF6" w14:textId="0C8B1CA5" w:rsidR="00306D7C" w:rsidRPr="00A84D74" w:rsidRDefault="00306D7C" w:rsidP="000814E5">
      <w:pPr>
        <w:rPr>
          <w:lang w:val="it-CH"/>
        </w:rPr>
      </w:pPr>
    </w:p>
    <w:sectPr w:rsidR="00306D7C" w:rsidRPr="00A84D74" w:rsidSect="000814E5">
      <w:headerReference w:type="first" r:id="rId16"/>
      <w:footerReference w:type="first" r:id="rId17"/>
      <w:pgSz w:w="11906" w:h="16838" w:code="9"/>
      <w:pgMar w:top="567" w:right="567" w:bottom="51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0A00C" w14:textId="77777777" w:rsidR="00361F4E" w:rsidRDefault="00361F4E" w:rsidP="004826F3">
      <w:pPr>
        <w:spacing w:before="0" w:after="0" w:line="240" w:lineRule="auto"/>
      </w:pPr>
      <w:r>
        <w:separator/>
      </w:r>
    </w:p>
  </w:endnote>
  <w:endnote w:type="continuationSeparator" w:id="0">
    <w:p w14:paraId="65D0876E" w14:textId="77777777" w:rsidR="00361F4E" w:rsidRDefault="00361F4E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C3091" w14:textId="77777777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0814E5">
      <w:rPr>
        <w:b w:val="0"/>
        <w:noProof/>
      </w:rPr>
      <w:t>24. August 2020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354E8" w14:textId="77777777" w:rsidR="00361F4E" w:rsidRDefault="00361F4E" w:rsidP="004826F3">
      <w:pPr>
        <w:spacing w:before="0" w:after="0" w:line="240" w:lineRule="auto"/>
      </w:pPr>
      <w:r>
        <w:separator/>
      </w:r>
    </w:p>
  </w:footnote>
  <w:footnote w:type="continuationSeparator" w:id="0">
    <w:p w14:paraId="76AB873F" w14:textId="77777777" w:rsidR="00361F4E" w:rsidRDefault="00361F4E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519EC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14E5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1F4E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789422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53.d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3</cp:revision>
  <cp:lastPrinted>2019-08-26T06:07:00Z</cp:lastPrinted>
  <dcterms:created xsi:type="dcterms:W3CDTF">2020-08-24T12:22:00Z</dcterms:created>
  <dcterms:modified xsi:type="dcterms:W3CDTF">2021-09-16T12:28:00Z</dcterms:modified>
</cp:coreProperties>
</file>