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70C29" w:rsidRPr="00336A7C" w14:paraId="5972E4E2" w14:textId="77777777" w:rsidTr="00A83C96">
        <w:trPr>
          <w:trHeight w:hRule="exact" w:val="1361"/>
        </w:trPr>
        <w:tc>
          <w:tcPr>
            <w:tcW w:w="2549" w:type="dxa"/>
            <w:vMerge w:val="restart"/>
          </w:tcPr>
          <w:p w14:paraId="34BB1DEE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</w:tcPr>
          <w:p w14:paraId="0977F15B" w14:textId="77777777" w:rsidR="00470C29" w:rsidRPr="006B041B" w:rsidRDefault="00B35F71" w:rsidP="00280780">
            <w:pPr>
              <w:pStyle w:val="berschrift1"/>
              <w:outlineLvl w:val="0"/>
              <w:rPr>
                <w:lang w:val="fr-FR"/>
              </w:rPr>
            </w:pPr>
            <w:bookmarkStart w:id="0" w:name="_Toc38002243"/>
            <w:r w:rsidRPr="006B041B">
              <w:rPr>
                <w:spacing w:val="-1"/>
                <w:lang w:val="fr-FR"/>
              </w:rPr>
              <w:t>Scies à métaux à ruban</w:t>
            </w:r>
            <w:bookmarkEnd w:id="0"/>
          </w:p>
        </w:tc>
      </w:tr>
      <w:tr w:rsidR="00470C29" w:rsidRPr="00336A7C" w14:paraId="087758EE" w14:textId="77777777" w:rsidTr="00A83C96">
        <w:trPr>
          <w:trHeight w:hRule="exact" w:val="567"/>
        </w:trPr>
        <w:tc>
          <w:tcPr>
            <w:tcW w:w="2549" w:type="dxa"/>
            <w:vMerge/>
          </w:tcPr>
          <w:p w14:paraId="27C38E1E" w14:textId="77777777" w:rsidR="00470C29" w:rsidRPr="006B041B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142FCA7A" w14:textId="77777777" w:rsidR="00470C29" w:rsidRPr="006B041B" w:rsidRDefault="00470C29" w:rsidP="00280780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70C29" w:rsidRPr="00F163F4" w14:paraId="4A8D1368" w14:textId="77777777" w:rsidTr="00A83C96">
        <w:trPr>
          <w:trHeight w:hRule="exact" w:val="3402"/>
        </w:trPr>
        <w:tc>
          <w:tcPr>
            <w:tcW w:w="2549" w:type="dxa"/>
          </w:tcPr>
          <w:p w14:paraId="659B552F" w14:textId="77777777" w:rsidR="00470C29" w:rsidRPr="006B041B" w:rsidRDefault="00470C29" w:rsidP="00280780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131FEB28" w14:textId="77777777" w:rsidR="00470C29" w:rsidRPr="006B041B" w:rsidRDefault="00B35F71" w:rsidP="00280780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3A6BA699" wp14:editId="4EE2FEC8">
                  <wp:extent cx="5172075" cy="2087878"/>
                  <wp:effectExtent l="0" t="0" r="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7106-03_Web format sRGB_6131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7237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336A7C" w14:paraId="453F4ADA" w14:textId="77777777" w:rsidTr="00A83C96">
        <w:trPr>
          <w:trHeight w:hRule="exact" w:val="2474"/>
        </w:trPr>
        <w:tc>
          <w:tcPr>
            <w:tcW w:w="2549" w:type="dxa"/>
          </w:tcPr>
          <w:p w14:paraId="212E4743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07709DF3" w14:textId="77777777" w:rsidR="00470C29" w:rsidRPr="006B041B" w:rsidRDefault="00451967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5552CF3" wp14:editId="5FAA4E80">
                  <wp:extent cx="540000" cy="471600"/>
                  <wp:effectExtent l="0" t="0" r="0" b="5080"/>
                  <wp:docPr id="150" name="Grafik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82722" w14:textId="77777777" w:rsidR="00470C29" w:rsidRPr="006B041B" w:rsidRDefault="00470C29" w:rsidP="002D0257">
            <w:pPr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64B1EB23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Contact avec le ruban de la scie en mouvement</w:t>
            </w:r>
          </w:p>
          <w:p w14:paraId="189688DD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Projection de copeaux</w:t>
            </w:r>
          </w:p>
          <w:p w14:paraId="620D5662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Chute de pièces</w:t>
            </w:r>
          </w:p>
          <w:p w14:paraId="34B7CE1C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Coincement des doigts dans le dispositif de serrage pneumatique</w:t>
            </w:r>
          </w:p>
          <w:p w14:paraId="0A6AE037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Affections cutanées dues au contact de la peau avec le fluide de coupe</w:t>
            </w:r>
          </w:p>
          <w:p w14:paraId="412861DE" w14:textId="77777777" w:rsidR="00B35F71" w:rsidRPr="006B041B" w:rsidRDefault="00B35F71" w:rsidP="00B35F71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Bruit occasionné par le sciage de tubes et de profilés</w:t>
            </w:r>
          </w:p>
        </w:tc>
      </w:tr>
      <w:tr w:rsidR="00470C29" w:rsidRPr="00336A7C" w14:paraId="11A7C11B" w14:textId="77777777" w:rsidTr="00A83C96">
        <w:trPr>
          <w:trHeight w:val="692"/>
        </w:trPr>
        <w:tc>
          <w:tcPr>
            <w:tcW w:w="2549" w:type="dxa"/>
          </w:tcPr>
          <w:p w14:paraId="282778CB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0D51D74B" w14:textId="77777777" w:rsidR="00451967" w:rsidRPr="006B041B" w:rsidRDefault="00451967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239277D1" wp14:editId="450B554E">
                  <wp:extent cx="540000" cy="540000"/>
                  <wp:effectExtent l="0" t="0" r="0" b="0"/>
                  <wp:docPr id="152" name="Grafik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D2008" w14:textId="77777777" w:rsidR="00451967" w:rsidRPr="006B041B" w:rsidRDefault="00451967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ED47D02" wp14:editId="18CC903E">
                  <wp:extent cx="540000" cy="540000"/>
                  <wp:effectExtent l="0" t="0" r="0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286D5" w14:textId="77777777" w:rsidR="00451967" w:rsidRPr="006B041B" w:rsidRDefault="00451967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AC65E2E" wp14:editId="27180BBD">
                  <wp:extent cx="540000" cy="540000"/>
                  <wp:effectExtent l="0" t="0" r="0" b="0"/>
                  <wp:docPr id="411" name="Grafik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B6E80" w14:textId="77777777" w:rsidR="00547BBB" w:rsidRPr="006B041B" w:rsidRDefault="00547BBB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514AE52A" w14:textId="77777777" w:rsidR="00547BBB" w:rsidRPr="006B041B" w:rsidRDefault="00547BBB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</w:p>
          <w:p w14:paraId="41464CBB" w14:textId="77777777" w:rsidR="00547BBB" w:rsidRPr="006B041B" w:rsidRDefault="00470C29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60872368" wp14:editId="3B662D24">
                  <wp:extent cx="540000" cy="5400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BB"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40FA7EEB" w14:textId="77777777" w:rsidR="00547BBB" w:rsidRPr="006B041B" w:rsidRDefault="00547BBB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64E3E72B" w14:textId="77777777" w:rsidR="00470C29" w:rsidRPr="006B041B" w:rsidRDefault="00470C29" w:rsidP="00451967">
            <w:pPr>
              <w:spacing w:before="20"/>
              <w:jc w:val="center"/>
              <w:rPr>
                <w:lang w:val="fr-FR"/>
              </w:rPr>
            </w:pPr>
          </w:p>
          <w:p w14:paraId="162848BF" w14:textId="77777777" w:rsidR="00470C29" w:rsidRPr="006B041B" w:rsidRDefault="00470C29" w:rsidP="00280780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</w:tcPr>
          <w:p w14:paraId="227B7EFC" w14:textId="175023D5" w:rsidR="00D67875" w:rsidRPr="006B041B" w:rsidRDefault="00D67875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</w:t>
            </w:r>
            <w:r w:rsidR="00643BA0" w:rsidRPr="006B041B">
              <w:rPr>
                <w:lang w:val="fr-FR" w:eastAsia="fr-CH"/>
              </w:rPr>
              <w:t>’utiliser l</w:t>
            </w:r>
            <w:r w:rsidRPr="006B041B">
              <w:rPr>
                <w:lang w:val="fr-FR" w:eastAsia="fr-CH"/>
              </w:rPr>
              <w:t xml:space="preserve">es </w:t>
            </w:r>
            <w:r w:rsidRPr="006B041B">
              <w:rPr>
                <w:rFonts w:cs="Times New Roman"/>
                <w:color w:val="1E1E1E"/>
                <w:lang w:val="fr-FR" w:eastAsia="fr-CH"/>
              </w:rPr>
              <w:t xml:space="preserve">scies à métaux à ruban que lorsque nous avons reçu l’instruction nécessaire, </w:t>
            </w:r>
            <w:r w:rsidRPr="006B041B">
              <w:rPr>
                <w:lang w:val="fr-FR" w:eastAsia="fr-CH"/>
              </w:rPr>
              <w:t>l'utilisation est interdite aux jeunes travailleurs de moins de 18 ans (exception : formation professionnelle initiale)</w:t>
            </w:r>
          </w:p>
          <w:p w14:paraId="76C35AD7" w14:textId="065D7E26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</w:t>
            </w:r>
            <w:r w:rsidR="00D67875" w:rsidRPr="006B041B">
              <w:rPr>
                <w:lang w:val="fr-FR" w:eastAsia="fr-CH"/>
              </w:rPr>
              <w:t xml:space="preserve"> des chaussures de sécurité et des lunettes de protection</w:t>
            </w:r>
          </w:p>
          <w:p w14:paraId="3F80ED61" w14:textId="7E5E55E7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</w:t>
            </w:r>
            <w:r w:rsidR="00D67875" w:rsidRPr="006B041B">
              <w:rPr>
                <w:lang w:val="fr-FR" w:eastAsia="fr-CH"/>
              </w:rPr>
              <w:t xml:space="preserve"> des protecteurs d’ouïe lors du sciage de tubes et de profilés</w:t>
            </w:r>
          </w:p>
          <w:p w14:paraId="501F8511" w14:textId="0191C259" w:rsidR="00D67875" w:rsidRPr="006B041B" w:rsidRDefault="00D53B9A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s</w:t>
            </w:r>
            <w:r w:rsidR="00D67875" w:rsidRPr="006B041B">
              <w:rPr>
                <w:lang w:val="fr-FR" w:eastAsia="fr-CH"/>
              </w:rPr>
              <w:t>i nécessaire des gants de protection lors de la manipulation de pièces à arêtes vives</w:t>
            </w:r>
          </w:p>
          <w:p w14:paraId="6440CD6B" w14:textId="71F7D962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porter</w:t>
            </w:r>
            <w:r w:rsidR="00D67875" w:rsidRPr="006B041B">
              <w:rPr>
                <w:lang w:val="fr-FR" w:eastAsia="fr-CH"/>
              </w:rPr>
              <w:t xml:space="preserve"> de vêtements amples, en particulier au niveau des manches</w:t>
            </w:r>
          </w:p>
          <w:p w14:paraId="25155F75" w14:textId="675D0301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Fixer</w:t>
            </w:r>
            <w:r w:rsidR="00D67875" w:rsidRPr="006B041B">
              <w:rPr>
                <w:lang w:val="fr-FR" w:eastAsia="fr-CH"/>
              </w:rPr>
              <w:t xml:space="preserve"> les pièces au moyen de dispositifs de serrage</w:t>
            </w:r>
          </w:p>
          <w:p w14:paraId="3FFBE053" w14:textId="49AF886F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Régler</w:t>
            </w:r>
            <w:r w:rsidR="00D67875" w:rsidRPr="006B041B">
              <w:rPr>
                <w:lang w:val="fr-FR" w:eastAsia="fr-CH"/>
              </w:rPr>
              <w:t xml:space="preserve"> le dispositif de serrage pneumatique de telle sorte que l’espace entre la pièce et le mors de l’étau soit au maximum de 6</w:t>
            </w:r>
            <w:r w:rsidR="00D67875" w:rsidRPr="006B041B">
              <w:rPr>
                <w:sz w:val="24"/>
                <w:lang w:val="fr-FR"/>
              </w:rPr>
              <w:t> </w:t>
            </w:r>
            <w:r w:rsidR="00D67875" w:rsidRPr="006B041B">
              <w:rPr>
                <w:lang w:val="fr-FR" w:eastAsia="fr-CH"/>
              </w:rPr>
              <w:t>mm lorsque la pièce n’est pas serrée</w:t>
            </w:r>
          </w:p>
          <w:p w14:paraId="3CD99B4E" w14:textId="1BA8498A" w:rsidR="00D67875" w:rsidRPr="006B041B" w:rsidRDefault="00643BA0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Attendre </w:t>
            </w:r>
            <w:r w:rsidR="00D67875" w:rsidRPr="006B041B">
              <w:rPr>
                <w:lang w:val="fr-FR" w:eastAsia="fr-CH"/>
              </w:rPr>
              <w:t>l’arrêt complet de la machine avant de serrer ou desserrer une pièce marche</w:t>
            </w:r>
          </w:p>
          <w:p w14:paraId="479747BC" w14:textId="5698B55A" w:rsidR="00B35F71" w:rsidRPr="006B041B" w:rsidRDefault="00643BA0" w:rsidP="00B35F71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 xml:space="preserve">Attendre </w:t>
            </w:r>
            <w:r w:rsidR="00D67875" w:rsidRPr="006B041B">
              <w:rPr>
                <w:bCs/>
                <w:lang w:val="fr-FR" w:eastAsia="fr-CH"/>
              </w:rPr>
              <w:t>l’arrêt complet de la machine avant de procéder à des mesures, à un nettoyage ou à des réparations</w:t>
            </w:r>
          </w:p>
        </w:tc>
      </w:tr>
      <w:tr w:rsidR="00470C29" w:rsidRPr="00336A7C" w14:paraId="02E9F82F" w14:textId="77777777" w:rsidTr="00A83C96">
        <w:trPr>
          <w:trHeight w:hRule="exact" w:val="1237"/>
        </w:trPr>
        <w:tc>
          <w:tcPr>
            <w:tcW w:w="2549" w:type="dxa"/>
          </w:tcPr>
          <w:p w14:paraId="6BA7D90F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213F13C1" w14:textId="77777777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0BE59DF8" w14:textId="243CC617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5C351A" w:rsidRPr="006B041B">
              <w:rPr>
                <w:rFonts w:cs="Times New Roman"/>
                <w:color w:val="1E1E1E"/>
                <w:lang w:val="fr-FR" w:eastAsia="fr-CH"/>
              </w:rPr>
              <w:t>Scie à métaux à ruban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4" w:history="1">
              <w:r w:rsidR="005C351A" w:rsidRPr="006B041B">
                <w:rPr>
                  <w:rStyle w:val="Hyperlink"/>
                  <w:lang w:val="fr-FR"/>
                </w:rPr>
                <w:t>www.suva.ch/67106.f</w:t>
              </w:r>
            </w:hyperlink>
          </w:p>
        </w:tc>
      </w:tr>
      <w:tr w:rsidR="00470C29" w:rsidRPr="00F163F4" w14:paraId="0A44831C" w14:textId="77777777" w:rsidTr="00336A7C">
        <w:trPr>
          <w:trHeight w:hRule="exact" w:val="680"/>
        </w:trPr>
        <w:tc>
          <w:tcPr>
            <w:tcW w:w="2549" w:type="dxa"/>
          </w:tcPr>
          <w:p w14:paraId="64E2C251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6A4593D0" w14:textId="77777777" w:rsidR="00470C29" w:rsidRPr="006B041B" w:rsidRDefault="00470C29" w:rsidP="00280780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016675E9" w14:textId="6518088A" w:rsidR="00A83C96" w:rsidRPr="006B041B" w:rsidRDefault="00A83C96">
      <w:pPr>
        <w:rPr>
          <w:lang w:val="fr-FR"/>
        </w:rPr>
      </w:pPr>
    </w:p>
    <w:sectPr w:rsidR="00A83C96" w:rsidRPr="006B041B" w:rsidSect="00336A7C">
      <w:footerReference w:type="first" r:id="rId15"/>
      <w:pgSz w:w="11906" w:h="16838" w:code="9"/>
      <w:pgMar w:top="567" w:right="62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0E7A9" w14:textId="77777777" w:rsidR="00835533" w:rsidRDefault="00835533" w:rsidP="004826F3">
      <w:pPr>
        <w:spacing w:before="0" w:after="0" w:line="240" w:lineRule="auto"/>
      </w:pPr>
      <w:r>
        <w:separator/>
      </w:r>
    </w:p>
  </w:endnote>
  <w:endnote w:type="continuationSeparator" w:id="0">
    <w:p w14:paraId="15F5824C" w14:textId="77777777" w:rsidR="00835533" w:rsidRDefault="00835533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467174A8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336A7C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46FB9" w14:textId="77777777" w:rsidR="00835533" w:rsidRDefault="00835533" w:rsidP="004826F3">
      <w:pPr>
        <w:spacing w:before="0" w:after="0" w:line="240" w:lineRule="auto"/>
      </w:pPr>
      <w:r>
        <w:separator/>
      </w:r>
    </w:p>
  </w:footnote>
  <w:footnote w:type="continuationSeparator" w:id="0">
    <w:p w14:paraId="6EF977AB" w14:textId="77777777" w:rsidR="00835533" w:rsidRDefault="00835533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17C1B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36A7C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35533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0BFA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6.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3</cp:revision>
  <cp:lastPrinted>2019-08-26T06:07:00Z</cp:lastPrinted>
  <dcterms:created xsi:type="dcterms:W3CDTF">2021-09-16T09:29:00Z</dcterms:created>
  <dcterms:modified xsi:type="dcterms:W3CDTF">2021-09-16T09:34:00Z</dcterms:modified>
</cp:coreProperties>
</file>