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A84D74" w14:paraId="271D249A" w14:textId="77777777" w:rsidTr="00253365">
        <w:trPr>
          <w:trHeight w:hRule="exact" w:val="1361"/>
        </w:trPr>
        <w:tc>
          <w:tcPr>
            <w:tcW w:w="2421" w:type="dxa"/>
            <w:vMerge w:val="restart"/>
          </w:tcPr>
          <w:p w14:paraId="5C76A100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4E0B6B38" w14:textId="77777777" w:rsidR="008472DC" w:rsidRPr="00A84D74" w:rsidRDefault="00DA4216" w:rsidP="00253365">
            <w:pPr>
              <w:pStyle w:val="berschrift1"/>
              <w:outlineLvl w:val="0"/>
              <w:rPr>
                <w:lang w:val="it-CH"/>
              </w:rPr>
            </w:pPr>
            <w:bookmarkStart w:id="0" w:name="_Toc40261084"/>
            <w:r w:rsidRPr="00A84D74">
              <w:rPr>
                <w:spacing w:val="-1"/>
                <w:lang w:val="it-CH"/>
              </w:rPr>
              <w:t>Rettificatrice per piani</w:t>
            </w:r>
            <w:bookmarkEnd w:id="0"/>
          </w:p>
        </w:tc>
      </w:tr>
      <w:tr w:rsidR="008472DC" w:rsidRPr="002122C6" w14:paraId="60CB8997" w14:textId="77777777" w:rsidTr="00253365">
        <w:trPr>
          <w:trHeight w:hRule="exact" w:val="567"/>
        </w:trPr>
        <w:tc>
          <w:tcPr>
            <w:tcW w:w="2421" w:type="dxa"/>
            <w:vMerge/>
          </w:tcPr>
          <w:p w14:paraId="2411F8F2" w14:textId="77777777" w:rsidR="008472DC" w:rsidRPr="00A84D74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60881CF3" w14:textId="77777777" w:rsidR="008472DC" w:rsidRPr="00A84D74" w:rsidRDefault="008472DC" w:rsidP="00253365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8472DC" w:rsidRPr="00A84D74" w14:paraId="5BD26133" w14:textId="77777777" w:rsidTr="00253365">
        <w:trPr>
          <w:trHeight w:hRule="exact" w:val="3402"/>
        </w:trPr>
        <w:tc>
          <w:tcPr>
            <w:tcW w:w="2421" w:type="dxa"/>
          </w:tcPr>
          <w:p w14:paraId="7B6A5499" w14:textId="77777777" w:rsidR="008472DC" w:rsidRPr="00A84D74" w:rsidRDefault="008472DC" w:rsidP="00253365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393C5D41" w14:textId="77777777" w:rsidR="008472DC" w:rsidRPr="00A84D74" w:rsidRDefault="00DA4216" w:rsidP="00253365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2FDA0B18" wp14:editId="5AE85203">
                  <wp:extent cx="5179498" cy="2085975"/>
                  <wp:effectExtent l="0" t="0" r="2540" b="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1056-940-13102017111216595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84526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2122C6" w14:paraId="2BEC6DB2" w14:textId="77777777" w:rsidTr="00253365">
        <w:trPr>
          <w:trHeight w:hRule="exact" w:val="3041"/>
        </w:trPr>
        <w:tc>
          <w:tcPr>
            <w:tcW w:w="2421" w:type="dxa"/>
          </w:tcPr>
          <w:p w14:paraId="30E7D285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48840EDC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1D9F2312" wp14:editId="7D11252E">
                  <wp:extent cx="540000" cy="471600"/>
                  <wp:effectExtent l="0" t="0" r="0" b="5080"/>
                  <wp:docPr id="528" name="Grafik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ADFE6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26AC2318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34CB0D76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Lesioni provocate dalla proiezione di particelle di abrasivo e di altri materiali</w:t>
            </w:r>
          </w:p>
          <w:p w14:paraId="6CD0351E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Lesioni alle mani provocate dal contatto accidentale con la mola in rotazione</w:t>
            </w:r>
          </w:p>
          <w:p w14:paraId="0A92A42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Lesioni dovute allo scoppio della mola</w:t>
            </w:r>
          </w:p>
          <w:p w14:paraId="36B04782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caduta del pezzo in lavorazione</w:t>
            </w:r>
          </w:p>
          <w:p w14:paraId="23B409D0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Respirare polvere di levigatura</w:t>
            </w:r>
          </w:p>
          <w:p w14:paraId="4CE94442" w14:textId="77777777" w:rsidR="008472DC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Ustioni causate dal contatto con superfici roventi del pezzo in lavorazione</w:t>
            </w:r>
          </w:p>
        </w:tc>
      </w:tr>
      <w:tr w:rsidR="008472DC" w:rsidRPr="002122C6" w14:paraId="2981C64D" w14:textId="77777777" w:rsidTr="00253365">
        <w:trPr>
          <w:trHeight w:val="4271"/>
        </w:trPr>
        <w:tc>
          <w:tcPr>
            <w:tcW w:w="2421" w:type="dxa"/>
          </w:tcPr>
          <w:p w14:paraId="283917B6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314F76FC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15CC4608" wp14:editId="58A75F2C">
                  <wp:extent cx="540000" cy="540000"/>
                  <wp:effectExtent l="0" t="0" r="0" b="0"/>
                  <wp:docPr id="529" name="Grafik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48188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7FAF2A7" wp14:editId="613BB813">
                  <wp:extent cx="540000" cy="540000"/>
                  <wp:effectExtent l="0" t="0" r="0" b="0"/>
                  <wp:docPr id="530" name="Grafik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A0C08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B118EB6" wp14:editId="7B9CC5D6">
                  <wp:extent cx="540000" cy="540000"/>
                  <wp:effectExtent l="0" t="0" r="0" b="0"/>
                  <wp:docPr id="531" name="Grafik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EC6FA4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85EAE42" wp14:editId="734FFC34">
                  <wp:extent cx="540000" cy="540000"/>
                  <wp:effectExtent l="0" t="0" r="0" b="0"/>
                  <wp:docPr id="532" name="Grafik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3AD3C" w14:textId="77777777" w:rsidR="008472DC" w:rsidRPr="00A84D74" w:rsidRDefault="008472DC" w:rsidP="00253365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2C99BBA7" w14:textId="77777777" w:rsidR="008472DC" w:rsidRPr="00A84D74" w:rsidRDefault="008472DC" w:rsidP="0025336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253365" w:rsidRPr="00A84D74">
              <w:rPr>
                <w:spacing w:val="-1"/>
                <w:lang w:val="it-CH"/>
              </w:rPr>
              <w:t xml:space="preserve">rettificatrici per piani </w:t>
            </w:r>
            <w:r w:rsidRPr="00A84D74">
              <w:rPr>
                <w:lang w:val="it-CH" w:eastAsia="it-CH"/>
              </w:rPr>
              <w:t>sicure, seguendo le istruzioni contenute nel manuale d'uso.</w:t>
            </w:r>
          </w:p>
          <w:p w14:paraId="20C0BBE1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utilizzarle.</w:t>
            </w:r>
          </w:p>
          <w:p w14:paraId="1CF461C9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66581497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 chiuse.</w:t>
            </w:r>
          </w:p>
          <w:p w14:paraId="5C1AC403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guanti di protezione.</w:t>
            </w:r>
          </w:p>
          <w:p w14:paraId="09DE9B2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i protettori auricolari.</w:t>
            </w:r>
          </w:p>
          <w:p w14:paraId="3BF30EDF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un dispositivo di protezione delle vie respiratorie.</w:t>
            </w:r>
          </w:p>
          <w:p w14:paraId="768E437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Prima di montare la mola, sottoporla alla prova del suono.</w:t>
            </w:r>
          </w:p>
          <w:p w14:paraId="4ABF5737" w14:textId="77777777" w:rsidR="008472DC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Regolare correttamente i poggiapezzi e la cuffia di protezione.</w:t>
            </w:r>
          </w:p>
        </w:tc>
      </w:tr>
      <w:tr w:rsidR="008472DC" w:rsidRPr="00A84D74" w14:paraId="0E013E80" w14:textId="77777777" w:rsidTr="00253365">
        <w:trPr>
          <w:trHeight w:hRule="exact" w:val="1237"/>
        </w:trPr>
        <w:tc>
          <w:tcPr>
            <w:tcW w:w="2421" w:type="dxa"/>
          </w:tcPr>
          <w:p w14:paraId="72A15255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31E08955" w14:textId="77777777" w:rsidR="008472DC" w:rsidRPr="00A84D74" w:rsidRDefault="008472DC" w:rsidP="00DA4216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</w:tc>
      </w:tr>
      <w:tr w:rsidR="008472DC" w:rsidRPr="00A84D74" w14:paraId="5E41971D" w14:textId="77777777" w:rsidTr="00253365">
        <w:trPr>
          <w:trHeight w:hRule="exact" w:val="567"/>
        </w:trPr>
        <w:tc>
          <w:tcPr>
            <w:tcW w:w="2421" w:type="dxa"/>
          </w:tcPr>
          <w:p w14:paraId="60C765F3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5C9F16FC" w14:textId="77777777" w:rsidR="008472DC" w:rsidRPr="00A84D74" w:rsidRDefault="008472DC" w:rsidP="00253365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154F1E03" w14:textId="30A7F024" w:rsidR="00487083" w:rsidRPr="00A84D74" w:rsidRDefault="00487083">
      <w:pPr>
        <w:spacing w:before="0"/>
        <w:rPr>
          <w:lang w:val="it-CH"/>
        </w:rPr>
      </w:pPr>
    </w:p>
    <w:sectPr w:rsidR="00487083" w:rsidRPr="00A84D74" w:rsidSect="00C87327">
      <w:headerReference w:type="first" r:id="rId14"/>
      <w:footerReference w:type="first" r:id="rId15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4D8F" w14:textId="77777777" w:rsidR="00481A70" w:rsidRDefault="00481A70" w:rsidP="004826F3">
      <w:pPr>
        <w:spacing w:before="0" w:after="0" w:line="240" w:lineRule="auto"/>
      </w:pPr>
      <w:r>
        <w:separator/>
      </w:r>
    </w:p>
  </w:endnote>
  <w:endnote w:type="continuationSeparator" w:id="0">
    <w:p w14:paraId="66672029" w14:textId="77777777" w:rsidR="00481A70" w:rsidRDefault="00481A70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20AD81F6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2122C6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6BC83" w14:textId="77777777" w:rsidR="00481A70" w:rsidRDefault="00481A70" w:rsidP="004826F3">
      <w:pPr>
        <w:spacing w:before="0" w:after="0" w:line="240" w:lineRule="auto"/>
      </w:pPr>
      <w:r>
        <w:separator/>
      </w:r>
    </w:p>
  </w:footnote>
  <w:footnote w:type="continuationSeparator" w:id="0">
    <w:p w14:paraId="2F9CDC0E" w14:textId="77777777" w:rsidR="00481A70" w:rsidRDefault="00481A70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22C6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1A70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2021-09-16T12:44:00Z</dcterms:modified>
</cp:coreProperties>
</file>