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8224"/>
      </w:tblGrid>
      <w:tr w:rsidR="00F92C27" w:rsidRPr="00F163F4" w14:paraId="01343E30" w14:textId="77777777" w:rsidTr="002B5215">
        <w:trPr>
          <w:trHeight w:hRule="exact" w:val="1361"/>
        </w:trPr>
        <w:tc>
          <w:tcPr>
            <w:tcW w:w="2549" w:type="dxa"/>
            <w:vMerge w:val="restart"/>
            <w:shd w:val="clear" w:color="auto" w:fill="auto"/>
          </w:tcPr>
          <w:p w14:paraId="7B28C005" w14:textId="77777777" w:rsidR="00F92C27" w:rsidRPr="006B041B" w:rsidRDefault="00F92C27" w:rsidP="00D13EF3">
            <w:pPr>
              <w:rPr>
                <w:lang w:val="fr-FR"/>
              </w:rPr>
            </w:pPr>
            <w:r w:rsidRPr="006B041B">
              <w:rPr>
                <w:lang w:val="fr-FR"/>
              </w:rPr>
              <w:t>Logo ou nom</w:t>
            </w:r>
          </w:p>
        </w:tc>
        <w:tc>
          <w:tcPr>
            <w:tcW w:w="8224" w:type="dxa"/>
            <w:tcBorders>
              <w:bottom w:val="nil"/>
            </w:tcBorders>
            <w:shd w:val="clear" w:color="auto" w:fill="auto"/>
          </w:tcPr>
          <w:p w14:paraId="655B78C0" w14:textId="77777777" w:rsidR="00F92C27" w:rsidRPr="006B041B" w:rsidRDefault="001333E2" w:rsidP="00D13EF3">
            <w:pPr>
              <w:pStyle w:val="berschrift1"/>
              <w:outlineLvl w:val="0"/>
              <w:rPr>
                <w:lang w:val="fr-FR"/>
              </w:rPr>
            </w:pPr>
            <w:bookmarkStart w:id="0" w:name="_Toc38002238"/>
            <w:r w:rsidRPr="006B041B">
              <w:rPr>
                <w:lang w:val="fr-FR"/>
              </w:rPr>
              <w:t>Presse-plieuse</w:t>
            </w:r>
            <w:bookmarkEnd w:id="0"/>
          </w:p>
        </w:tc>
      </w:tr>
      <w:tr w:rsidR="00F92C27" w:rsidRPr="001C137A" w14:paraId="2F50E6DC" w14:textId="77777777" w:rsidTr="002B5215">
        <w:trPr>
          <w:trHeight w:hRule="exact" w:val="567"/>
        </w:trPr>
        <w:tc>
          <w:tcPr>
            <w:tcW w:w="2549" w:type="dxa"/>
            <w:vMerge/>
            <w:shd w:val="clear" w:color="auto" w:fill="auto"/>
          </w:tcPr>
          <w:p w14:paraId="4C426225" w14:textId="77777777" w:rsidR="00F92C27" w:rsidRPr="006B041B" w:rsidRDefault="00F92C27" w:rsidP="00D13EF3">
            <w:pPr>
              <w:spacing w:before="240"/>
              <w:rPr>
                <w:rFonts w:ascii="Verdana" w:hAnsi="Verdana" w:cs="Arial"/>
                <w:b w:val="0"/>
                <w:sz w:val="24"/>
                <w:lang w:val="fr-FR"/>
              </w:rPr>
            </w:pPr>
          </w:p>
        </w:tc>
        <w:tc>
          <w:tcPr>
            <w:tcW w:w="8224" w:type="dxa"/>
            <w:tcBorders>
              <w:top w:val="nil"/>
            </w:tcBorders>
            <w:shd w:val="clear" w:color="auto" w:fill="auto"/>
            <w:vAlign w:val="center"/>
          </w:tcPr>
          <w:p w14:paraId="29BC13D0" w14:textId="77777777" w:rsidR="00F92C27" w:rsidRPr="006B041B" w:rsidRDefault="00F92C27" w:rsidP="00D13EF3">
            <w:pPr>
              <w:rPr>
                <w:b w:val="0"/>
                <w:sz w:val="20"/>
                <w:szCs w:val="20"/>
                <w:lang w:val="fr-FR"/>
              </w:rPr>
            </w:pPr>
            <w:r w:rsidRPr="006B041B">
              <w:rPr>
                <w:b w:val="0"/>
                <w:sz w:val="20"/>
                <w:szCs w:val="20"/>
                <w:lang w:val="fr-FR"/>
              </w:rPr>
              <w:t>Principales règles de sécurité et de comportement dans notre entreprise</w:t>
            </w:r>
          </w:p>
        </w:tc>
      </w:tr>
      <w:tr w:rsidR="00F92C27" w:rsidRPr="00F163F4" w14:paraId="3448229C" w14:textId="77777777" w:rsidTr="002B5215">
        <w:trPr>
          <w:trHeight w:hRule="exact" w:val="3402"/>
        </w:trPr>
        <w:tc>
          <w:tcPr>
            <w:tcW w:w="2549" w:type="dxa"/>
            <w:shd w:val="clear" w:color="auto" w:fill="auto"/>
          </w:tcPr>
          <w:p w14:paraId="4DB546A9" w14:textId="77777777" w:rsidR="00E143AC" w:rsidRPr="006B041B" w:rsidRDefault="00E143AC" w:rsidP="001333E2">
            <w:pPr>
              <w:rPr>
                <w:lang w:val="fr-FR"/>
              </w:rPr>
            </w:pPr>
          </w:p>
        </w:tc>
        <w:tc>
          <w:tcPr>
            <w:tcW w:w="8224" w:type="dxa"/>
            <w:shd w:val="clear" w:color="auto" w:fill="auto"/>
            <w:tcMar>
              <w:left w:w="125" w:type="dxa"/>
            </w:tcMar>
            <w:vAlign w:val="center"/>
          </w:tcPr>
          <w:p w14:paraId="3E6498D6" w14:textId="77777777" w:rsidR="00F92C27" w:rsidRPr="006B041B" w:rsidRDefault="001333E2" w:rsidP="00D13EF3">
            <w:pPr>
              <w:spacing w:before="0"/>
              <w:rPr>
                <w:lang w:val="fr-FR"/>
              </w:rPr>
            </w:pPr>
            <w:r w:rsidRPr="006B041B">
              <w:rPr>
                <w:rFonts w:cs="Times New Roman"/>
                <w:noProof/>
                <w:color w:val="1E1E1E"/>
                <w:sz w:val="20"/>
                <w:szCs w:val="20"/>
                <w:lang w:val="fr-FR" w:eastAsia="fr-CH"/>
              </w:rPr>
              <w:drawing>
                <wp:inline distT="0" distB="0" distL="0" distR="0" wp14:anchorId="5521C5DE" wp14:editId="0BB0BC4E">
                  <wp:extent cx="5148000" cy="2088000"/>
                  <wp:effectExtent l="0" t="0" r="0" b="7620"/>
                  <wp:docPr id="10" name="Grafik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7108_03_Web format sRGB_18167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48000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C27" w:rsidRPr="001C137A" w14:paraId="76C94732" w14:textId="77777777" w:rsidTr="002B5215">
        <w:trPr>
          <w:trHeight w:hRule="exact" w:val="3319"/>
        </w:trPr>
        <w:tc>
          <w:tcPr>
            <w:tcW w:w="2549" w:type="dxa"/>
            <w:shd w:val="clear" w:color="auto" w:fill="auto"/>
          </w:tcPr>
          <w:p w14:paraId="4E647E7B" w14:textId="77777777" w:rsidR="00F92C27" w:rsidRPr="006B041B" w:rsidRDefault="00F92C27" w:rsidP="00D13EF3">
            <w:pPr>
              <w:rPr>
                <w:lang w:val="fr-FR"/>
              </w:rPr>
            </w:pPr>
            <w:r w:rsidRPr="006B041B">
              <w:rPr>
                <w:lang w:val="fr-FR"/>
              </w:rPr>
              <w:t xml:space="preserve">Principaux </w:t>
            </w:r>
            <w:r w:rsidR="002935FD" w:rsidRPr="006B041B">
              <w:rPr>
                <w:lang w:val="fr-FR"/>
              </w:rPr>
              <w:t>dangers</w:t>
            </w:r>
          </w:p>
          <w:p w14:paraId="00551D4A" w14:textId="77777777" w:rsidR="00F92C27" w:rsidRPr="006B041B" w:rsidRDefault="001F5F00" w:rsidP="00D13EF3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1634A9F8" wp14:editId="7D695A51">
                  <wp:extent cx="540000" cy="468000"/>
                  <wp:effectExtent l="0" t="0" r="0" b="8255"/>
                  <wp:docPr id="257" name="Grafik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Warnung vor Quetschgefahr der Hand zwischen den Werkzeugen einer Presse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5142DF" w14:textId="77777777" w:rsidR="001333E2" w:rsidRPr="006B041B" w:rsidRDefault="001F5F00" w:rsidP="00D13EF3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4DBAE3B7" wp14:editId="15BEBAED">
                  <wp:extent cx="540000" cy="468000"/>
                  <wp:effectExtent l="0" t="0" r="0" b="8255"/>
                  <wp:docPr id="258" name="Grafik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Warnung vor Quetschgefahr der Hand zwischen Presse und Werkstück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7F5E8C" w14:textId="77777777" w:rsidR="001333E2" w:rsidRPr="006B041B" w:rsidRDefault="001F5F00" w:rsidP="00D13EF3">
            <w:pPr>
              <w:jc w:val="center"/>
              <w:rPr>
                <w:rFonts w:ascii="Arial" w:hAnsi="Arial" w:cs="Arial"/>
                <w:b w:val="0"/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5115C899" wp14:editId="4BBD7FC1">
                  <wp:extent cx="540000" cy="471600"/>
                  <wp:effectExtent l="0" t="0" r="0" b="5080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Warnung vor hochschnellendem Werkstück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4" w:type="dxa"/>
            <w:shd w:val="clear" w:color="auto" w:fill="auto"/>
          </w:tcPr>
          <w:p w14:paraId="155AFA8D" w14:textId="77777777" w:rsidR="001333E2" w:rsidRPr="006B041B" w:rsidRDefault="002D0257" w:rsidP="001333E2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Écrasement</w:t>
            </w:r>
            <w:r w:rsidR="001333E2" w:rsidRPr="006B041B">
              <w:rPr>
                <w:lang w:val="fr-FR" w:eastAsia="fr-CH"/>
              </w:rPr>
              <w:t xml:space="preserve"> des doigts, de la main ou du bras lors de la fermeture de l’outil</w:t>
            </w:r>
          </w:p>
          <w:p w14:paraId="5E4AB6F5" w14:textId="77777777" w:rsidR="001333E2" w:rsidRPr="006B041B" w:rsidRDefault="002D0257" w:rsidP="001333E2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Écrasement</w:t>
            </w:r>
            <w:r w:rsidR="001333E2" w:rsidRPr="006B041B">
              <w:rPr>
                <w:lang w:val="fr-FR" w:eastAsia="fr-CH"/>
              </w:rPr>
              <w:t xml:space="preserve"> des doigts entre la pièce à façonner et le tablier supérieur de la machine</w:t>
            </w:r>
          </w:p>
          <w:p w14:paraId="7359B6A2" w14:textId="77777777" w:rsidR="001333E2" w:rsidRPr="006B041B" w:rsidRDefault="001333E2" w:rsidP="001333E2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Blessures dues aux mouvements d’une pièce de grande dimension</w:t>
            </w:r>
          </w:p>
          <w:p w14:paraId="53C058B1" w14:textId="77777777" w:rsidR="001333E2" w:rsidRPr="006B041B" w:rsidRDefault="002D0257" w:rsidP="001333E2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rFonts w:cstheme="minorHAnsi"/>
                <w:lang w:val="fr-FR" w:eastAsia="fr-CH"/>
              </w:rPr>
              <w:t>É</w:t>
            </w:r>
            <w:r w:rsidR="001333E2" w:rsidRPr="006B041B">
              <w:rPr>
                <w:lang w:val="fr-FR" w:eastAsia="fr-CH"/>
              </w:rPr>
              <w:t>crasement des doigts consécutif à la chute d’un outil lors du réglage</w:t>
            </w:r>
          </w:p>
          <w:p w14:paraId="15175140" w14:textId="77777777" w:rsidR="001333E2" w:rsidRPr="006B041B" w:rsidRDefault="001333E2" w:rsidP="001333E2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Coupures aux mains liées à la manipulation de tôles à arêtes vives</w:t>
            </w:r>
          </w:p>
          <w:p w14:paraId="3A94BAA6" w14:textId="77777777" w:rsidR="001333E2" w:rsidRPr="006B041B" w:rsidRDefault="001333E2" w:rsidP="001333E2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Blessures dues à la chute d’une tôle</w:t>
            </w:r>
          </w:p>
        </w:tc>
      </w:tr>
      <w:tr w:rsidR="00F92C27" w:rsidRPr="001C137A" w14:paraId="6025DCF0" w14:textId="77777777" w:rsidTr="002B5215">
        <w:trPr>
          <w:trHeight w:val="4271"/>
        </w:trPr>
        <w:tc>
          <w:tcPr>
            <w:tcW w:w="2549" w:type="dxa"/>
            <w:shd w:val="clear" w:color="auto" w:fill="auto"/>
            <w:tcMar>
              <w:top w:w="0" w:type="dxa"/>
            </w:tcMar>
          </w:tcPr>
          <w:p w14:paraId="22BD41A7" w14:textId="77777777" w:rsidR="00F92C27" w:rsidRPr="006B041B" w:rsidRDefault="00F92C27" w:rsidP="00D13EF3">
            <w:pPr>
              <w:rPr>
                <w:lang w:val="fr-FR"/>
              </w:rPr>
            </w:pPr>
            <w:r w:rsidRPr="006B041B">
              <w:rPr>
                <w:lang w:val="fr-FR"/>
              </w:rPr>
              <w:t>Règles de sécurité</w:t>
            </w:r>
          </w:p>
          <w:p w14:paraId="518C5A24" w14:textId="77777777" w:rsidR="00F92C27" w:rsidRPr="006B041B" w:rsidRDefault="001F5F00" w:rsidP="00D13EF3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3FDAF7B7" wp14:editId="4E5DF0D6">
                  <wp:extent cx="540000" cy="540000"/>
                  <wp:effectExtent l="0" t="0" r="0" b="0"/>
                  <wp:docPr id="125" name="Grafik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AF2F2" w14:textId="77777777" w:rsidR="001F5F00" w:rsidRPr="006B041B" w:rsidRDefault="001F5F00" w:rsidP="00D13EF3">
            <w:pPr>
              <w:spacing w:before="20"/>
              <w:jc w:val="center"/>
              <w:rPr>
                <w:lang w:val="fr-FR"/>
              </w:rPr>
            </w:pPr>
            <w:r w:rsidRPr="006B041B">
              <w:rPr>
                <w:b w:val="0"/>
                <w:noProof/>
                <w:lang w:val="fr-FR" w:eastAsia="fr-CH"/>
              </w:rPr>
              <w:drawing>
                <wp:inline distT="0" distB="0" distL="0" distR="0" wp14:anchorId="04ED14EB" wp14:editId="16482050">
                  <wp:extent cx="540000" cy="540000"/>
                  <wp:effectExtent l="0" t="0" r="0" b="0"/>
                  <wp:docPr id="256" name="Grafik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F6D58C" w14:textId="77777777" w:rsidR="00F92C27" w:rsidRPr="006B041B" w:rsidRDefault="00F92C27" w:rsidP="001F5F00">
            <w:pPr>
              <w:spacing w:before="20"/>
              <w:rPr>
                <w:lang w:val="fr-FR"/>
              </w:rPr>
            </w:pPr>
          </w:p>
          <w:p w14:paraId="256B5F6F" w14:textId="77777777" w:rsidR="00F92C27" w:rsidRPr="006B041B" w:rsidRDefault="00F92C27" w:rsidP="00D13EF3">
            <w:pPr>
              <w:spacing w:before="20"/>
              <w:rPr>
                <w:lang w:val="fr-FR"/>
              </w:rPr>
            </w:pPr>
          </w:p>
        </w:tc>
        <w:tc>
          <w:tcPr>
            <w:tcW w:w="8224" w:type="dxa"/>
            <w:shd w:val="clear" w:color="auto" w:fill="auto"/>
            <w:tcMar>
              <w:top w:w="113" w:type="dxa"/>
            </w:tcMar>
          </w:tcPr>
          <w:p w14:paraId="2338FDAB" w14:textId="77777777" w:rsidR="001333E2" w:rsidRPr="006B041B" w:rsidRDefault="001333E2" w:rsidP="001F5F00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Utiliser des presses-plieuses sûres et respecter les consignes indiquées dans la notice d’instructions</w:t>
            </w:r>
          </w:p>
          <w:p w14:paraId="5C684284" w14:textId="78DB7C34" w:rsidR="001333E2" w:rsidRPr="006B041B" w:rsidRDefault="00A83CFB" w:rsidP="001F5F00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Utilisation uniquement par des personnes instruites. L'utilisation est interdite aux jeunes travailleurs de moins de 18 ans (exception : formation professionnelle initiale)</w:t>
            </w:r>
          </w:p>
          <w:p w14:paraId="26CCA10A" w14:textId="4028D366" w:rsidR="001333E2" w:rsidRPr="006B041B" w:rsidRDefault="001333E2" w:rsidP="001F5F00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des gants de protection contre les coupures (facteur de protection</w:t>
            </w:r>
            <w:r w:rsidR="00F163F4">
              <w:rPr>
                <w:lang w:val="fr-FR" w:eastAsia="fr-CH"/>
              </w:rPr>
              <w:t xml:space="preserve"> </w:t>
            </w:r>
            <w:r w:rsidRPr="006B041B">
              <w:rPr>
                <w:lang w:val="fr-FR" w:eastAsia="fr-CH"/>
              </w:rPr>
              <w:t>: min. 3)</w:t>
            </w:r>
          </w:p>
          <w:p w14:paraId="134AC35E" w14:textId="77777777" w:rsidR="001333E2" w:rsidRPr="006B041B" w:rsidRDefault="001333E2" w:rsidP="001F5F00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Porter des chaussures de sécurité</w:t>
            </w:r>
          </w:p>
          <w:p w14:paraId="3635B29C" w14:textId="77777777" w:rsidR="001333E2" w:rsidRPr="006B041B" w:rsidRDefault="001333E2" w:rsidP="001F5F00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Prévoir deux pédales de commande si la presse-plieuse est utilisée simultanément par deux personnes.</w:t>
            </w:r>
          </w:p>
          <w:p w14:paraId="4511CCC2" w14:textId="606C91F8" w:rsidR="001333E2" w:rsidRPr="006B041B" w:rsidRDefault="001333E2" w:rsidP="001F5F00">
            <w:pPr>
              <w:pStyle w:val="AufzhlungSchwarzneu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Tenir correctement les pièces</w:t>
            </w:r>
            <w:r w:rsidR="00F163F4">
              <w:rPr>
                <w:lang w:val="fr-FR" w:eastAsia="fr-CH"/>
              </w:rPr>
              <w:t xml:space="preserve"> </w:t>
            </w:r>
            <w:r w:rsidRPr="006B041B">
              <w:rPr>
                <w:lang w:val="fr-FR" w:eastAsia="fr-CH"/>
              </w:rPr>
              <w:t>:</w:t>
            </w:r>
          </w:p>
          <w:p w14:paraId="56E91042" w14:textId="77777777" w:rsidR="001333E2" w:rsidRPr="006B041B" w:rsidRDefault="001333E2" w:rsidP="003E1F41">
            <w:pPr>
              <w:pStyle w:val="AufzhlungSchwarzneu"/>
              <w:numPr>
                <w:ilvl w:val="1"/>
                <w:numId w:val="40"/>
              </w:numPr>
              <w:ind w:left="868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jamais garder les doigts au-dessus de la tôle</w:t>
            </w:r>
          </w:p>
          <w:p w14:paraId="46218F64" w14:textId="77777777" w:rsidR="001333E2" w:rsidRPr="006B041B" w:rsidRDefault="001333E2" w:rsidP="003E1F41">
            <w:pPr>
              <w:pStyle w:val="AufzhlungSchwarzneu"/>
              <w:numPr>
                <w:ilvl w:val="1"/>
                <w:numId w:val="40"/>
              </w:numPr>
              <w:ind w:left="868"/>
              <w:rPr>
                <w:lang w:val="fr-FR" w:eastAsia="de-DE"/>
              </w:rPr>
            </w:pPr>
            <w:r w:rsidRPr="006B041B">
              <w:rPr>
                <w:lang w:val="fr-FR" w:eastAsia="fr-CH"/>
              </w:rPr>
              <w:t>ne jamais placer la main entre une pièce pliée et le tablier supérieur de la machine</w:t>
            </w:r>
          </w:p>
          <w:p w14:paraId="1086B9E3" w14:textId="7927F654" w:rsidR="001333E2" w:rsidRPr="006B041B" w:rsidRDefault="00605EF2" w:rsidP="001F5F00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 w:eastAsia="fr-CH"/>
              </w:rPr>
              <w:t xml:space="preserve"> Sécuriser les outils pour qu'ils ne tombent pas pendant l'installation</w:t>
            </w:r>
          </w:p>
          <w:p w14:paraId="1B95E2AE" w14:textId="77777777" w:rsidR="00605EF2" w:rsidRPr="006B041B" w:rsidRDefault="00605EF2" w:rsidP="001F5F00">
            <w:pPr>
              <w:pStyle w:val="AufzhlungSchwarzneu"/>
              <w:rPr>
                <w:lang w:val="fr-FR"/>
              </w:rPr>
            </w:pPr>
            <w:r w:rsidRPr="006B041B">
              <w:rPr>
                <w:lang w:val="fr-FR" w:eastAsia="fr-CH"/>
              </w:rPr>
              <w:t>Sécuriser la position du tablier supérieur lors de l’installation des outils</w:t>
            </w:r>
          </w:p>
        </w:tc>
      </w:tr>
      <w:tr w:rsidR="00F92C27" w:rsidRPr="001C137A" w14:paraId="7F3D7DEF" w14:textId="77777777" w:rsidTr="001C137A">
        <w:tc>
          <w:tcPr>
            <w:tcW w:w="2549" w:type="dxa"/>
            <w:shd w:val="clear" w:color="auto" w:fill="auto"/>
          </w:tcPr>
          <w:p w14:paraId="2799D814" w14:textId="77777777" w:rsidR="00F92C27" w:rsidRPr="006B041B" w:rsidRDefault="00F92C27" w:rsidP="001C137A">
            <w:pPr>
              <w:rPr>
                <w:lang w:val="fr-FR"/>
              </w:rPr>
            </w:pPr>
            <w:r w:rsidRPr="006B041B">
              <w:rPr>
                <w:lang w:val="fr-FR"/>
              </w:rPr>
              <w:t>Informations</w:t>
            </w:r>
          </w:p>
        </w:tc>
        <w:tc>
          <w:tcPr>
            <w:tcW w:w="8224" w:type="dxa"/>
            <w:shd w:val="clear" w:color="auto" w:fill="auto"/>
          </w:tcPr>
          <w:p w14:paraId="54033887" w14:textId="77777777" w:rsidR="004A5D3D" w:rsidRPr="006B041B" w:rsidRDefault="004A5D3D" w:rsidP="001C137A">
            <w:pPr>
              <w:pStyle w:val="AufzhlungSchwarzneu"/>
              <w:spacing w:after="0"/>
              <w:rPr>
                <w:lang w:val="fr-FR"/>
              </w:rPr>
            </w:pPr>
            <w:r w:rsidRPr="006B041B">
              <w:rPr>
                <w:lang w:val="fr-FR"/>
              </w:rPr>
              <w:t>Voir la notice d’instructions</w:t>
            </w:r>
          </w:p>
          <w:p w14:paraId="1A9C74E7" w14:textId="6B0F24A7" w:rsidR="001F5F00" w:rsidRPr="006B041B" w:rsidRDefault="00720481" w:rsidP="001C137A">
            <w:pPr>
              <w:pStyle w:val="AufzhlungSchwarzneu"/>
              <w:spacing w:after="0"/>
              <w:rPr>
                <w:lang w:val="fr-FR"/>
              </w:rPr>
            </w:pPr>
            <w:r w:rsidRPr="006B041B">
              <w:rPr>
                <w:lang w:val="fr-FR"/>
              </w:rPr>
              <w:t>Liste de contrôle «</w:t>
            </w:r>
            <w:r w:rsidR="004508AD" w:rsidRPr="006B041B">
              <w:rPr>
                <w:lang w:val="fr-FR"/>
              </w:rPr>
              <w:t xml:space="preserve"> </w:t>
            </w:r>
            <w:r w:rsidRPr="006B041B">
              <w:rPr>
                <w:lang w:val="fr-FR"/>
              </w:rPr>
              <w:t>Presses-plieuses</w:t>
            </w:r>
            <w:r w:rsidR="004508AD" w:rsidRPr="006B041B">
              <w:rPr>
                <w:lang w:val="fr-FR"/>
              </w:rPr>
              <w:t xml:space="preserve"> </w:t>
            </w:r>
            <w:r w:rsidRPr="006B041B">
              <w:rPr>
                <w:lang w:val="fr-FR"/>
              </w:rPr>
              <w:t xml:space="preserve">», </w:t>
            </w:r>
            <w:hyperlink r:id="rId14" w:history="1">
              <w:r w:rsidR="001333E2" w:rsidRPr="006B041B">
                <w:rPr>
                  <w:rStyle w:val="Hyperlink"/>
                  <w:lang w:val="fr-FR"/>
                </w:rPr>
                <w:t>www.suva.ch/67108.f</w:t>
              </w:r>
            </w:hyperlink>
          </w:p>
        </w:tc>
      </w:tr>
      <w:tr w:rsidR="00F92C27" w:rsidRPr="00F163F4" w14:paraId="4C5225C3" w14:textId="77777777" w:rsidTr="001C137A">
        <w:tc>
          <w:tcPr>
            <w:tcW w:w="2549" w:type="dxa"/>
            <w:shd w:val="clear" w:color="auto" w:fill="auto"/>
          </w:tcPr>
          <w:p w14:paraId="7515269E" w14:textId="77777777" w:rsidR="00F92C27" w:rsidRPr="006B041B" w:rsidRDefault="00F92C27" w:rsidP="00D13EF3">
            <w:pPr>
              <w:rPr>
                <w:lang w:val="fr-FR"/>
              </w:rPr>
            </w:pPr>
            <w:r w:rsidRPr="006B041B">
              <w:rPr>
                <w:lang w:val="fr-FR"/>
              </w:rPr>
              <w:t>Date d’établissement</w:t>
            </w:r>
          </w:p>
        </w:tc>
        <w:tc>
          <w:tcPr>
            <w:tcW w:w="8224" w:type="dxa"/>
            <w:shd w:val="clear" w:color="auto" w:fill="auto"/>
          </w:tcPr>
          <w:p w14:paraId="477771B6" w14:textId="77777777" w:rsidR="00F92C27" w:rsidRPr="006B041B" w:rsidRDefault="00C7270F" w:rsidP="00D13EF3">
            <w:pPr>
              <w:spacing w:before="180"/>
              <w:rPr>
                <w:b w:val="0"/>
                <w:lang w:val="fr-FR"/>
              </w:rPr>
            </w:pPr>
            <w:r w:rsidRPr="006B041B">
              <w:rPr>
                <w:b w:val="0"/>
                <w:sz w:val="20"/>
                <w:lang w:val="fr-FR"/>
              </w:rPr>
              <w:t>Version 1.0 / 26 août 2019</w:t>
            </w:r>
          </w:p>
        </w:tc>
      </w:tr>
    </w:tbl>
    <w:p w14:paraId="52CE7315" w14:textId="77777777" w:rsidR="00122808" w:rsidRPr="006B041B" w:rsidRDefault="00122808" w:rsidP="00D13EF3">
      <w:pPr>
        <w:rPr>
          <w:lang w:val="fr-FR"/>
        </w:rPr>
      </w:pPr>
    </w:p>
    <w:sectPr w:rsidR="00122808" w:rsidRPr="006B041B" w:rsidSect="002D14A5">
      <w:headerReference w:type="first" r:id="rId15"/>
      <w:footerReference w:type="first" r:id="rId16"/>
      <w:pgSz w:w="11906" w:h="16838" w:code="9"/>
      <w:pgMar w:top="567" w:right="70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7F4B6" w14:textId="77777777" w:rsidR="009057BD" w:rsidRDefault="009057BD" w:rsidP="004826F3">
      <w:pPr>
        <w:spacing w:before="0" w:after="0" w:line="240" w:lineRule="auto"/>
      </w:pPr>
      <w:r>
        <w:separator/>
      </w:r>
    </w:p>
  </w:endnote>
  <w:endnote w:type="continuationSeparator" w:id="0">
    <w:p w14:paraId="1B7BA617" w14:textId="77777777" w:rsidR="009057BD" w:rsidRDefault="009057BD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6653" w14:textId="341B5291" w:rsidR="005827FF" w:rsidRPr="00F82615" w:rsidRDefault="005827FF" w:rsidP="00AD1F10">
    <w:pPr>
      <w:pStyle w:val="Fuzeile"/>
      <w:pBdr>
        <w:top w:val="single" w:sz="4" w:space="1" w:color="auto"/>
      </w:pBdr>
      <w:ind w:left="567"/>
    </w:pPr>
    <w:r>
      <w:rPr>
        <w:b w:val="0"/>
      </w:rPr>
      <w:fldChar w:fldCharType="begin"/>
    </w:r>
    <w:r>
      <w:rPr>
        <w:b w:val="0"/>
      </w:rPr>
      <w:instrText xml:space="preserve"> SAVEDATE  \@ "d. MMMM yyyy" </w:instrText>
    </w:r>
    <w:r>
      <w:rPr>
        <w:b w:val="0"/>
      </w:rPr>
      <w:fldChar w:fldCharType="separate"/>
    </w:r>
    <w:r w:rsidR="001C137A">
      <w:rPr>
        <w:b w:val="0"/>
        <w:noProof/>
      </w:rPr>
      <w:t>20. August 2021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49FFD1" w14:textId="77777777" w:rsidR="009057BD" w:rsidRDefault="009057BD" w:rsidP="004826F3">
      <w:pPr>
        <w:spacing w:before="0" w:after="0" w:line="240" w:lineRule="auto"/>
      </w:pPr>
      <w:r>
        <w:separator/>
      </w:r>
    </w:p>
  </w:footnote>
  <w:footnote w:type="continuationSeparator" w:id="0">
    <w:p w14:paraId="0798E491" w14:textId="77777777" w:rsidR="009057BD" w:rsidRDefault="009057BD" w:rsidP="004826F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5F318" w14:textId="77777777" w:rsidR="005827FF" w:rsidRPr="002D0257" w:rsidRDefault="005827FF" w:rsidP="00E0699B">
    <w:pPr>
      <w:pStyle w:val="Kopfzeile"/>
      <w:pBdr>
        <w:bottom w:val="single" w:sz="4" w:space="1" w:color="auto"/>
      </w:pBdr>
      <w:ind w:left="567" w:right="567"/>
      <w:rPr>
        <w:b w:val="0"/>
        <w:lang w:val="fr-CH"/>
      </w:rPr>
    </w:pPr>
    <w:r w:rsidRPr="002D0257">
      <w:rPr>
        <w:b w:val="0"/>
        <w:lang w:val="fr-CH"/>
      </w:rPr>
      <w:t>Règles de sécurité et de comportement spécifiques à l’entreprise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31D2"/>
    <w:rsid w:val="000163A7"/>
    <w:rsid w:val="00025EF9"/>
    <w:rsid w:val="00027FF5"/>
    <w:rsid w:val="0003029C"/>
    <w:rsid w:val="00031386"/>
    <w:rsid w:val="00035958"/>
    <w:rsid w:val="00035AE0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E722A"/>
    <w:rsid w:val="000F1EC7"/>
    <w:rsid w:val="000F37AC"/>
    <w:rsid w:val="000F37B1"/>
    <w:rsid w:val="00101453"/>
    <w:rsid w:val="00101FAA"/>
    <w:rsid w:val="00107665"/>
    <w:rsid w:val="00111124"/>
    <w:rsid w:val="00111411"/>
    <w:rsid w:val="0011584B"/>
    <w:rsid w:val="00116CF0"/>
    <w:rsid w:val="00117A7E"/>
    <w:rsid w:val="00122808"/>
    <w:rsid w:val="001239A1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310E"/>
    <w:rsid w:val="00175484"/>
    <w:rsid w:val="00180C27"/>
    <w:rsid w:val="00183BAA"/>
    <w:rsid w:val="00184F75"/>
    <w:rsid w:val="0018691E"/>
    <w:rsid w:val="00187BFD"/>
    <w:rsid w:val="00192897"/>
    <w:rsid w:val="00192C9D"/>
    <w:rsid w:val="00195891"/>
    <w:rsid w:val="00197CC7"/>
    <w:rsid w:val="001A4EDB"/>
    <w:rsid w:val="001A79B3"/>
    <w:rsid w:val="001B3683"/>
    <w:rsid w:val="001B3ACB"/>
    <w:rsid w:val="001B3BF6"/>
    <w:rsid w:val="001B583C"/>
    <w:rsid w:val="001B6308"/>
    <w:rsid w:val="001B702E"/>
    <w:rsid w:val="001C137A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57F4"/>
    <w:rsid w:val="00207E1B"/>
    <w:rsid w:val="00215719"/>
    <w:rsid w:val="00216BAF"/>
    <w:rsid w:val="002178AD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70986"/>
    <w:rsid w:val="00270A60"/>
    <w:rsid w:val="002718AE"/>
    <w:rsid w:val="0027260F"/>
    <w:rsid w:val="0027562D"/>
    <w:rsid w:val="00280780"/>
    <w:rsid w:val="00284846"/>
    <w:rsid w:val="00285FC6"/>
    <w:rsid w:val="0028727B"/>
    <w:rsid w:val="00291783"/>
    <w:rsid w:val="002935FD"/>
    <w:rsid w:val="00295CEF"/>
    <w:rsid w:val="002A194A"/>
    <w:rsid w:val="002A57FD"/>
    <w:rsid w:val="002B1BE1"/>
    <w:rsid w:val="002B5215"/>
    <w:rsid w:val="002B6F3E"/>
    <w:rsid w:val="002C4DAB"/>
    <w:rsid w:val="002D0257"/>
    <w:rsid w:val="002D14A5"/>
    <w:rsid w:val="002D5FAC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0486"/>
    <w:rsid w:val="003338FA"/>
    <w:rsid w:val="0033492D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E2D1C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7825"/>
    <w:rsid w:val="005362EA"/>
    <w:rsid w:val="00536EBA"/>
    <w:rsid w:val="00547BBB"/>
    <w:rsid w:val="00566898"/>
    <w:rsid w:val="00567515"/>
    <w:rsid w:val="00577A3F"/>
    <w:rsid w:val="00580A31"/>
    <w:rsid w:val="005827FF"/>
    <w:rsid w:val="0058366C"/>
    <w:rsid w:val="00584F20"/>
    <w:rsid w:val="00586B7A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71D7"/>
    <w:rsid w:val="005E7650"/>
    <w:rsid w:val="005E7D11"/>
    <w:rsid w:val="005F0116"/>
    <w:rsid w:val="005F41AA"/>
    <w:rsid w:val="00600FE7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7D6D"/>
    <w:rsid w:val="0063147F"/>
    <w:rsid w:val="00643BA0"/>
    <w:rsid w:val="0065705C"/>
    <w:rsid w:val="0066106E"/>
    <w:rsid w:val="00661AC5"/>
    <w:rsid w:val="00662BBA"/>
    <w:rsid w:val="0066424F"/>
    <w:rsid w:val="00675648"/>
    <w:rsid w:val="0068257F"/>
    <w:rsid w:val="00686B8D"/>
    <w:rsid w:val="006938F4"/>
    <w:rsid w:val="0069650C"/>
    <w:rsid w:val="006A7133"/>
    <w:rsid w:val="006B041B"/>
    <w:rsid w:val="006D1D3C"/>
    <w:rsid w:val="006D3CB4"/>
    <w:rsid w:val="006D7E89"/>
    <w:rsid w:val="006E1D02"/>
    <w:rsid w:val="006E4E22"/>
    <w:rsid w:val="006E4EEC"/>
    <w:rsid w:val="006E5E43"/>
    <w:rsid w:val="006E7448"/>
    <w:rsid w:val="006F06F7"/>
    <w:rsid w:val="006F2A6E"/>
    <w:rsid w:val="006F57F3"/>
    <w:rsid w:val="006F61A3"/>
    <w:rsid w:val="006F6AD5"/>
    <w:rsid w:val="006F7B10"/>
    <w:rsid w:val="0070193F"/>
    <w:rsid w:val="007025BD"/>
    <w:rsid w:val="00706617"/>
    <w:rsid w:val="00706C8E"/>
    <w:rsid w:val="00712EF2"/>
    <w:rsid w:val="00715CD5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54"/>
    <w:rsid w:val="00747AAD"/>
    <w:rsid w:val="00750F49"/>
    <w:rsid w:val="00761198"/>
    <w:rsid w:val="00763336"/>
    <w:rsid w:val="00774C4F"/>
    <w:rsid w:val="00775982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C5EFB"/>
    <w:rsid w:val="007D1B12"/>
    <w:rsid w:val="007D5593"/>
    <w:rsid w:val="007E1963"/>
    <w:rsid w:val="007E1F7E"/>
    <w:rsid w:val="007E7876"/>
    <w:rsid w:val="007F48E7"/>
    <w:rsid w:val="007F649C"/>
    <w:rsid w:val="00802C2C"/>
    <w:rsid w:val="0080580D"/>
    <w:rsid w:val="00806DC5"/>
    <w:rsid w:val="00816161"/>
    <w:rsid w:val="00822EE8"/>
    <w:rsid w:val="00824E37"/>
    <w:rsid w:val="00825929"/>
    <w:rsid w:val="0082622A"/>
    <w:rsid w:val="008432B5"/>
    <w:rsid w:val="008443BB"/>
    <w:rsid w:val="008472DC"/>
    <w:rsid w:val="008475CF"/>
    <w:rsid w:val="00847DC4"/>
    <w:rsid w:val="00850226"/>
    <w:rsid w:val="00850DD2"/>
    <w:rsid w:val="0087393B"/>
    <w:rsid w:val="00877EBE"/>
    <w:rsid w:val="00886161"/>
    <w:rsid w:val="008931B2"/>
    <w:rsid w:val="008B1DBF"/>
    <w:rsid w:val="008B38BA"/>
    <w:rsid w:val="008D6DEE"/>
    <w:rsid w:val="008E166E"/>
    <w:rsid w:val="008E2C03"/>
    <w:rsid w:val="008F06B5"/>
    <w:rsid w:val="00904580"/>
    <w:rsid w:val="009045CC"/>
    <w:rsid w:val="009048CE"/>
    <w:rsid w:val="00904B96"/>
    <w:rsid w:val="00904F9C"/>
    <w:rsid w:val="009057BD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283"/>
    <w:rsid w:val="00961798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59FC"/>
    <w:rsid w:val="00A66476"/>
    <w:rsid w:val="00A667D6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2D9D"/>
    <w:rsid w:val="00B7462A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57B00"/>
    <w:rsid w:val="00C676D4"/>
    <w:rsid w:val="00C71B9A"/>
    <w:rsid w:val="00C7270F"/>
    <w:rsid w:val="00C73691"/>
    <w:rsid w:val="00C74B48"/>
    <w:rsid w:val="00C82879"/>
    <w:rsid w:val="00C877E5"/>
    <w:rsid w:val="00C87CB3"/>
    <w:rsid w:val="00C96B5C"/>
    <w:rsid w:val="00C96B5E"/>
    <w:rsid w:val="00CA381A"/>
    <w:rsid w:val="00CB5587"/>
    <w:rsid w:val="00CB72CD"/>
    <w:rsid w:val="00CC11DD"/>
    <w:rsid w:val="00CC4C13"/>
    <w:rsid w:val="00CC5EEE"/>
    <w:rsid w:val="00CD26BA"/>
    <w:rsid w:val="00CD3880"/>
    <w:rsid w:val="00CD3C11"/>
    <w:rsid w:val="00CD50B5"/>
    <w:rsid w:val="00CD6D49"/>
    <w:rsid w:val="00CE5547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3B9A"/>
    <w:rsid w:val="00D544A5"/>
    <w:rsid w:val="00D548CF"/>
    <w:rsid w:val="00D552CB"/>
    <w:rsid w:val="00D62B13"/>
    <w:rsid w:val="00D638F2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699B"/>
    <w:rsid w:val="00E11055"/>
    <w:rsid w:val="00E143AC"/>
    <w:rsid w:val="00E153EE"/>
    <w:rsid w:val="00E17456"/>
    <w:rsid w:val="00E20547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25FA"/>
    <w:rsid w:val="00EF4073"/>
    <w:rsid w:val="00F06067"/>
    <w:rsid w:val="00F132BB"/>
    <w:rsid w:val="00F14239"/>
    <w:rsid w:val="00F15F9D"/>
    <w:rsid w:val="00F163F4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3EB3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00FB10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  <w:style w:type="paragraph" w:styleId="berarbeitung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108.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1484A-D07C-4541-B4E7-B9018DE06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SUVA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7</cp:revision>
  <cp:lastPrinted>2019-08-26T06:07:00Z</cp:lastPrinted>
  <dcterms:created xsi:type="dcterms:W3CDTF">2020-08-24T10:19:00Z</dcterms:created>
  <dcterms:modified xsi:type="dcterms:W3CDTF">2021-09-16T09:22:00Z</dcterms:modified>
</cp:coreProperties>
</file>