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470C29" w:rsidRPr="00F163F4" w14:paraId="29C9C322" w14:textId="77777777" w:rsidTr="00795056">
        <w:trPr>
          <w:trHeight w:hRule="exact" w:val="1361"/>
        </w:trPr>
        <w:tc>
          <w:tcPr>
            <w:tcW w:w="2549" w:type="dxa"/>
            <w:vMerge w:val="restart"/>
            <w:shd w:val="clear" w:color="auto" w:fill="auto"/>
          </w:tcPr>
          <w:p w14:paraId="4C0281CA" w14:textId="77777777" w:rsidR="00470C29" w:rsidRPr="006B041B" w:rsidRDefault="00470C29" w:rsidP="00470C29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</w:tcPr>
          <w:p w14:paraId="173A11CE" w14:textId="77777777" w:rsidR="00470C29" w:rsidRPr="006B041B" w:rsidRDefault="00B8677F" w:rsidP="00470C29">
            <w:pPr>
              <w:pStyle w:val="berschrift1"/>
              <w:outlineLvl w:val="0"/>
              <w:rPr>
                <w:lang w:val="fr-FR"/>
              </w:rPr>
            </w:pPr>
            <w:bookmarkStart w:id="0" w:name="_Toc38002241"/>
            <w:r w:rsidRPr="006B041B">
              <w:rPr>
                <w:spacing w:val="-1"/>
                <w:lang w:val="fr-FR"/>
              </w:rPr>
              <w:t>Fraiseuse</w:t>
            </w:r>
            <w:r w:rsidR="002D0257" w:rsidRPr="006B041B">
              <w:rPr>
                <w:spacing w:val="-1"/>
                <w:lang w:val="fr-FR"/>
              </w:rPr>
              <w:t xml:space="preserve"> </w:t>
            </w:r>
            <w:r w:rsidRPr="006B041B">
              <w:rPr>
                <w:spacing w:val="-1"/>
                <w:lang w:val="fr-FR"/>
              </w:rPr>
              <w:t>conventionnelle</w:t>
            </w:r>
            <w:bookmarkEnd w:id="0"/>
          </w:p>
        </w:tc>
      </w:tr>
      <w:tr w:rsidR="00470C29" w:rsidRPr="006F1938" w14:paraId="5BB87281" w14:textId="77777777" w:rsidTr="00795056">
        <w:trPr>
          <w:trHeight w:hRule="exact" w:val="567"/>
        </w:trPr>
        <w:tc>
          <w:tcPr>
            <w:tcW w:w="2549" w:type="dxa"/>
            <w:vMerge/>
            <w:shd w:val="clear" w:color="auto" w:fill="auto"/>
          </w:tcPr>
          <w:p w14:paraId="3C4FCB24" w14:textId="77777777" w:rsidR="00470C29" w:rsidRPr="006B041B" w:rsidRDefault="00470C29" w:rsidP="00470C29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  <w:tcBorders>
              <w:top w:val="nil"/>
            </w:tcBorders>
            <w:shd w:val="clear" w:color="auto" w:fill="auto"/>
            <w:vAlign w:val="center"/>
          </w:tcPr>
          <w:p w14:paraId="5C30EB1C" w14:textId="77777777" w:rsidR="00470C29" w:rsidRPr="006B041B" w:rsidRDefault="00470C29" w:rsidP="00470C29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470C29" w:rsidRPr="00F163F4" w14:paraId="55A9FEEF" w14:textId="77777777" w:rsidTr="00795056">
        <w:trPr>
          <w:trHeight w:hRule="exact" w:val="3455"/>
        </w:trPr>
        <w:tc>
          <w:tcPr>
            <w:tcW w:w="2549" w:type="dxa"/>
            <w:shd w:val="clear" w:color="auto" w:fill="auto"/>
          </w:tcPr>
          <w:p w14:paraId="4E0D96D4" w14:textId="77777777" w:rsidR="00470C29" w:rsidRPr="006B041B" w:rsidRDefault="00470C29" w:rsidP="00470C29">
            <w:pPr>
              <w:rPr>
                <w:lang w:val="fr-FR"/>
              </w:rPr>
            </w:pPr>
          </w:p>
        </w:tc>
        <w:tc>
          <w:tcPr>
            <w:tcW w:w="8224" w:type="dxa"/>
            <w:shd w:val="clear" w:color="auto" w:fill="auto"/>
            <w:tcMar>
              <w:left w:w="125" w:type="dxa"/>
            </w:tcMar>
            <w:vAlign w:val="center"/>
          </w:tcPr>
          <w:p w14:paraId="7A60264B" w14:textId="77777777" w:rsidR="00470C29" w:rsidRPr="006B041B" w:rsidRDefault="00B8677F" w:rsidP="00470C29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14844B64" wp14:editId="324CF3C0">
                  <wp:extent cx="5162550" cy="2087880"/>
                  <wp:effectExtent l="0" t="0" r="0" b="7620"/>
                  <wp:docPr id="401" name="Grafik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27150-11342651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284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6F1938" w14:paraId="183FCBA0" w14:textId="77777777" w:rsidTr="006B041B">
        <w:trPr>
          <w:trHeight w:hRule="exact" w:val="2427"/>
        </w:trPr>
        <w:tc>
          <w:tcPr>
            <w:tcW w:w="2549" w:type="dxa"/>
            <w:shd w:val="clear" w:color="auto" w:fill="auto"/>
          </w:tcPr>
          <w:p w14:paraId="75A6020B" w14:textId="77777777" w:rsidR="00470C29" w:rsidRPr="006B041B" w:rsidRDefault="00470C29" w:rsidP="00470C29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7CA95D6C" w14:textId="77777777" w:rsidR="00470C29" w:rsidRPr="006B041B" w:rsidRDefault="00B8677F" w:rsidP="00470C29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D2FDDF9" wp14:editId="40636F66">
                  <wp:extent cx="540000" cy="471600"/>
                  <wp:effectExtent l="0" t="0" r="0" b="5080"/>
                  <wp:docPr id="402" name="Grafik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1FB23" w14:textId="77777777" w:rsidR="00470C29" w:rsidRPr="006B041B" w:rsidRDefault="00470C29" w:rsidP="002D0257">
            <w:pPr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  <w:shd w:val="clear" w:color="auto" w:fill="auto"/>
          </w:tcPr>
          <w:p w14:paraId="17BC2DC8" w14:textId="62E2B574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Risque que des gants, vêtements amples, cheveux longs ou bijoux soient entraînés par </w:t>
            </w:r>
            <w:r w:rsidR="006055D1" w:rsidRPr="006B041B">
              <w:rPr>
                <w:lang w:val="fr-FR" w:eastAsia="fr-CH"/>
              </w:rPr>
              <w:t xml:space="preserve">l’outil </w:t>
            </w:r>
            <w:r w:rsidRPr="006B041B">
              <w:rPr>
                <w:lang w:val="fr-FR" w:eastAsia="fr-CH"/>
              </w:rPr>
              <w:t xml:space="preserve">ou </w:t>
            </w:r>
            <w:r w:rsidR="006055D1" w:rsidRPr="006B041B">
              <w:rPr>
                <w:lang w:val="fr-FR" w:eastAsia="fr-CH"/>
              </w:rPr>
              <w:t xml:space="preserve">par la </w:t>
            </w:r>
            <w:r w:rsidRPr="006B041B">
              <w:rPr>
                <w:lang w:val="fr-FR" w:eastAsia="fr-CH"/>
              </w:rPr>
              <w:t xml:space="preserve">broche en </w:t>
            </w:r>
            <w:r w:rsidR="006055D1" w:rsidRPr="006B041B">
              <w:rPr>
                <w:lang w:val="fr-FR" w:eastAsia="fr-CH"/>
              </w:rPr>
              <w:t>rotation</w:t>
            </w:r>
          </w:p>
          <w:p w14:paraId="293510BF" w14:textId="2E582059" w:rsidR="00B8677F" w:rsidRPr="006B041B" w:rsidRDefault="00605EF2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Projection de copeaux ou d’éclats d’outils, blessures occasionnées par la rotation ou la projection de la pièce </w:t>
            </w:r>
          </w:p>
          <w:p w14:paraId="73D046FA" w14:textId="05DDBDD1" w:rsidR="00B8677F" w:rsidRPr="006B041B" w:rsidRDefault="00605EF2" w:rsidP="00C002D4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Coupures aux mains dues à des copeaux, des arêtes vives ou avec l’outil </w:t>
            </w:r>
          </w:p>
        </w:tc>
      </w:tr>
      <w:tr w:rsidR="00470C29" w:rsidRPr="006F1938" w14:paraId="2881DD13" w14:textId="77777777" w:rsidTr="00795056">
        <w:trPr>
          <w:trHeight w:val="5103"/>
        </w:trPr>
        <w:tc>
          <w:tcPr>
            <w:tcW w:w="2549" w:type="dxa"/>
            <w:shd w:val="clear" w:color="auto" w:fill="auto"/>
            <w:tcMar>
              <w:top w:w="0" w:type="dxa"/>
            </w:tcMar>
          </w:tcPr>
          <w:p w14:paraId="627374B1" w14:textId="77777777" w:rsidR="00470C29" w:rsidRPr="006B041B" w:rsidRDefault="00470C29" w:rsidP="00470C29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025093A7" w14:textId="77777777" w:rsidR="00470C29" w:rsidRPr="006B041B" w:rsidRDefault="003E1F41" w:rsidP="00470C29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1B58302" wp14:editId="6B6FAD3B">
                  <wp:extent cx="540000" cy="54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D2FFA" w14:textId="77777777" w:rsidR="00470C29" w:rsidRPr="006B041B" w:rsidRDefault="00470C29" w:rsidP="00470C29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655918B" wp14:editId="0BBD448F">
                  <wp:extent cx="540000" cy="540000"/>
                  <wp:effectExtent l="0" t="0" r="0" b="0"/>
                  <wp:docPr id="284" name="Grafi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68083" w14:textId="77777777" w:rsidR="00B8677F" w:rsidRPr="006B041B" w:rsidRDefault="00B8677F" w:rsidP="00470C29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6FBEB3A" wp14:editId="397C02A3">
                  <wp:extent cx="540000" cy="540000"/>
                  <wp:effectExtent l="0" t="0" r="0" b="0"/>
                  <wp:docPr id="403" name="Grafik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CE148" w14:textId="77777777" w:rsidR="00B8677F" w:rsidRPr="006B041B" w:rsidRDefault="00B8677F" w:rsidP="00470C29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657DF6B6" wp14:editId="2C6E999B">
                  <wp:extent cx="540000" cy="540000"/>
                  <wp:effectExtent l="0" t="0" r="0" b="0"/>
                  <wp:docPr id="404" name="Grafik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B49C5" w14:textId="77777777" w:rsidR="00470C29" w:rsidRPr="006B041B" w:rsidRDefault="00B8677F" w:rsidP="00B8677F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2A07A1F5" wp14:editId="01DCF4E5">
                  <wp:extent cx="540000" cy="540000"/>
                  <wp:effectExtent l="0" t="0" r="0" b="0"/>
                  <wp:docPr id="405" name="Grafik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shd w:val="clear" w:color="auto" w:fill="auto"/>
            <w:tcMar>
              <w:top w:w="113" w:type="dxa"/>
            </w:tcMar>
          </w:tcPr>
          <w:p w14:paraId="6089D066" w14:textId="77777777" w:rsidR="00470C29" w:rsidRPr="006B041B" w:rsidRDefault="00470C29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Utiliser des </w:t>
            </w:r>
            <w:r w:rsidR="00B8677F" w:rsidRPr="006B041B">
              <w:rPr>
                <w:rFonts w:cs="Times New Roman"/>
                <w:color w:val="1E1E1E"/>
                <w:lang w:val="fr-FR" w:eastAsia="fr-CH"/>
              </w:rPr>
              <w:t xml:space="preserve">fraiseuses </w:t>
            </w:r>
            <w:r w:rsidRPr="006B041B">
              <w:rPr>
                <w:lang w:val="fr-FR" w:eastAsia="fr-CH"/>
              </w:rPr>
              <w:t>sûres et respecter les consignes indiquées dans la notice d’instructions</w:t>
            </w:r>
          </w:p>
          <w:p w14:paraId="5DE139B9" w14:textId="65A99E5B" w:rsidR="00A83CFB" w:rsidRPr="006B041B" w:rsidRDefault="00A83CFB" w:rsidP="00B8677F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Utilisation uniquement par des personnes instruites. L'utilisation est interdite aux jeunes travailleurs de moins de 18 ans (exception : formation professionnelle initiale)</w:t>
            </w:r>
          </w:p>
          <w:p w14:paraId="030D0016" w14:textId="53733BE9" w:rsidR="00B8677F" w:rsidRPr="006B041B" w:rsidRDefault="00B8677F" w:rsidP="007A0099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Porter des lunettes de protection</w:t>
            </w:r>
            <w:r w:rsidR="00344E3D" w:rsidRPr="006B041B">
              <w:rPr>
                <w:bCs/>
                <w:lang w:val="fr-FR" w:eastAsia="fr-CH"/>
              </w:rPr>
              <w:t xml:space="preserve"> et </w:t>
            </w:r>
            <w:r w:rsidRPr="006B041B">
              <w:rPr>
                <w:bCs/>
                <w:lang w:val="fr-FR" w:eastAsia="fr-CH"/>
              </w:rPr>
              <w:t>des chaussures de sécurité</w:t>
            </w:r>
          </w:p>
          <w:p w14:paraId="24C90145" w14:textId="77777777" w:rsidR="00B8677F" w:rsidRPr="006B041B" w:rsidRDefault="00B8677F" w:rsidP="00B8677F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Interdiction de porter des gants</w:t>
            </w:r>
          </w:p>
          <w:p w14:paraId="4E426D2A" w14:textId="77777777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porter ni bagues, ni montres, ni bracelets</w:t>
            </w:r>
          </w:p>
          <w:p w14:paraId="6562BE78" w14:textId="318297BC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porter</w:t>
            </w:r>
            <w:r w:rsidR="00344E3D" w:rsidRPr="006B041B">
              <w:rPr>
                <w:lang w:val="fr-FR" w:eastAsia="fr-CH"/>
              </w:rPr>
              <w:t xml:space="preserve"> pas </w:t>
            </w:r>
            <w:r w:rsidRPr="006B041B">
              <w:rPr>
                <w:lang w:val="fr-FR" w:eastAsia="fr-CH"/>
              </w:rPr>
              <w:t>de vêtements amples, en particulier au niveau des manches</w:t>
            </w:r>
          </w:p>
          <w:p w14:paraId="1831F61C" w14:textId="7A03D6A5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Cheveux longs</w:t>
            </w:r>
            <w:r w:rsidR="00F163F4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: porter un filet à cheveux</w:t>
            </w:r>
          </w:p>
          <w:p w14:paraId="4FBB54F5" w14:textId="77777777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Fixer les pièces au moyen de dispositifs de serrage</w:t>
            </w:r>
          </w:p>
          <w:p w14:paraId="60B70B1A" w14:textId="77777777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approcher la main de la broche en mouvement</w:t>
            </w:r>
          </w:p>
          <w:p w14:paraId="6931C4F3" w14:textId="77777777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serrer ou desserrer une pièce lorsque la machine est en marche</w:t>
            </w:r>
          </w:p>
          <w:p w14:paraId="355D9CAF" w14:textId="77777777" w:rsidR="00B8677F" w:rsidRPr="006B041B" w:rsidRDefault="00B8677F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procéder à des mesures, à un nettoyage ou à des réparations lorsque la machine est en marche</w:t>
            </w:r>
          </w:p>
          <w:p w14:paraId="6350A975" w14:textId="77777777" w:rsidR="006055D1" w:rsidRPr="006B041B" w:rsidRDefault="006055D1" w:rsidP="00B8677F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Démonter les outils de coupe avant de faire le nettoyage de la machine</w:t>
            </w:r>
          </w:p>
        </w:tc>
      </w:tr>
      <w:tr w:rsidR="00470C29" w:rsidRPr="00F163F4" w14:paraId="2E6DBB1F" w14:textId="77777777" w:rsidTr="006B041B">
        <w:trPr>
          <w:trHeight w:hRule="exact" w:val="1165"/>
        </w:trPr>
        <w:tc>
          <w:tcPr>
            <w:tcW w:w="2549" w:type="dxa"/>
            <w:shd w:val="clear" w:color="auto" w:fill="auto"/>
          </w:tcPr>
          <w:p w14:paraId="190AE724" w14:textId="77777777" w:rsidR="00470C29" w:rsidRPr="006B041B" w:rsidRDefault="00470C29" w:rsidP="00470C29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  <w:shd w:val="clear" w:color="auto" w:fill="auto"/>
          </w:tcPr>
          <w:p w14:paraId="5251FD42" w14:textId="77777777" w:rsidR="00470C29" w:rsidRPr="006B041B" w:rsidRDefault="00470C29" w:rsidP="00CD628D">
            <w:pPr>
              <w:pStyle w:val="AufzhlungSchwarzneu"/>
              <w:spacing w:after="0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</w:tc>
      </w:tr>
      <w:tr w:rsidR="00470C29" w:rsidRPr="00F163F4" w14:paraId="30B0ACA2" w14:textId="77777777" w:rsidTr="006F1938">
        <w:trPr>
          <w:trHeight w:hRule="exact" w:val="567"/>
        </w:trPr>
        <w:tc>
          <w:tcPr>
            <w:tcW w:w="2549" w:type="dxa"/>
            <w:shd w:val="clear" w:color="auto" w:fill="auto"/>
          </w:tcPr>
          <w:p w14:paraId="42B06E8D" w14:textId="77777777" w:rsidR="00470C29" w:rsidRPr="006B041B" w:rsidRDefault="00470C29" w:rsidP="00470C29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  <w:shd w:val="clear" w:color="auto" w:fill="auto"/>
          </w:tcPr>
          <w:p w14:paraId="058DEC58" w14:textId="3FFEE695" w:rsidR="00CD628D" w:rsidRPr="006B041B" w:rsidRDefault="00470C29" w:rsidP="00CD628D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04DB9354" w14:textId="16C34298" w:rsidR="00A83C96" w:rsidRPr="006B041B" w:rsidRDefault="00CD628D" w:rsidP="00CD628D">
      <w:pPr>
        <w:tabs>
          <w:tab w:val="left" w:pos="1605"/>
        </w:tabs>
        <w:rPr>
          <w:lang w:val="fr-FR"/>
        </w:rPr>
      </w:pPr>
      <w:r>
        <w:rPr>
          <w:lang w:val="fr-FR"/>
        </w:rPr>
        <w:tab/>
      </w:r>
    </w:p>
    <w:sectPr w:rsidR="00A83C96" w:rsidRPr="006B041B" w:rsidSect="00E252E6">
      <w:headerReference w:type="first" r:id="rId15"/>
      <w:footerReference w:type="first" r:id="rId16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40D5" w14:textId="77777777" w:rsidR="005F2432" w:rsidRDefault="005F2432" w:rsidP="004826F3">
      <w:pPr>
        <w:spacing w:before="0" w:after="0" w:line="240" w:lineRule="auto"/>
      </w:pPr>
      <w:r>
        <w:separator/>
      </w:r>
    </w:p>
  </w:endnote>
  <w:endnote w:type="continuationSeparator" w:id="0">
    <w:p w14:paraId="215E5E5B" w14:textId="77777777" w:rsidR="005F2432" w:rsidRDefault="005F2432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08C2546C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6F1938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F31F" w14:textId="77777777" w:rsidR="005F2432" w:rsidRDefault="005F2432" w:rsidP="004826F3">
      <w:pPr>
        <w:spacing w:before="0" w:after="0" w:line="240" w:lineRule="auto"/>
      </w:pPr>
      <w:r>
        <w:separator/>
      </w:r>
    </w:p>
  </w:footnote>
  <w:footnote w:type="continuationSeparator" w:id="0">
    <w:p w14:paraId="1939AC6B" w14:textId="77777777" w:rsidR="005F2432" w:rsidRDefault="005F2432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F318" w14:textId="77777777" w:rsidR="005827FF" w:rsidRPr="002D0257" w:rsidRDefault="005827FF" w:rsidP="00E0699B">
    <w:pPr>
      <w:pStyle w:val="Kopfzeile"/>
      <w:pBdr>
        <w:bottom w:val="single" w:sz="4" w:space="1" w:color="auto"/>
      </w:pBdr>
      <w:ind w:left="567" w:right="567"/>
      <w:rPr>
        <w:b w:val="0"/>
        <w:lang w:val="fr-CH"/>
      </w:rPr>
    </w:pPr>
    <w:r w:rsidRPr="002D0257">
      <w:rPr>
        <w:b w:val="0"/>
        <w:lang w:val="fr-CH"/>
      </w:rPr>
      <w:t>Règles de sécurité et de comportement spécifiques à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19F0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2432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1938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186A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130C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28D"/>
    <w:rsid w:val="00CD6D49"/>
    <w:rsid w:val="00CE1088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2E6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8</cp:revision>
  <cp:lastPrinted>2019-08-26T06:07:00Z</cp:lastPrinted>
  <dcterms:created xsi:type="dcterms:W3CDTF">2020-08-24T10:19:00Z</dcterms:created>
  <dcterms:modified xsi:type="dcterms:W3CDTF">2021-09-16T09:26:00Z</dcterms:modified>
</cp:coreProperties>
</file>